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pliego-técnico"/>
    <w:p>
      <w:pPr>
        <w:pStyle w:val="Heading1"/>
      </w:pPr>
      <w:r>
        <w:t xml:space="preserve">PLIEGO TÉCNICO</w:t>
      </w:r>
    </w:p>
    <w:bookmarkStart w:id="20" w:name="X89140cbf2f6c8d37d2a783b6b633d4c496f20ac"/>
    <w:p>
      <w:pPr>
        <w:pStyle w:val="Heading2"/>
      </w:pPr>
      <w:r>
        <w:t xml:space="preserve">Plataforma SaaS de Gestión Documental para PyMEs Privadas</w:t>
      </w:r>
    </w:p>
    <w:p>
      <w:r>
        <w:pict>
          <v:rect style="width:0;height:1.5pt" o:hralign="center" o:hrstd="t" o:hr="t"/>
        </w:pict>
      </w:r>
    </w:p>
    <w:bookmarkEnd w:id="20"/>
    <w:bookmarkStart w:id="21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El presente pliego tiene por objeto la</w:t>
      </w:r>
      <w:r>
        <w:t xml:space="preserve"> </w:t>
      </w:r>
      <w:r>
        <w:rPr>
          <w:b/>
          <w:bCs/>
        </w:rPr>
        <w:t xml:space="preserve">contratación del diseño, desarrollo, implementación, puesta en producción y operación</w:t>
      </w:r>
      <w:r>
        <w:t xml:space="preserve"> </w:t>
      </w:r>
      <w:r>
        <w:t xml:space="preserve">de una</w:t>
      </w:r>
      <w:r>
        <w:t xml:space="preserve"> </w:t>
      </w:r>
      <w:r>
        <w:rPr>
          <w:b/>
          <w:bCs/>
        </w:rPr>
        <w:t xml:space="preserve">Plataforma SaaS de Gestión Documental (SGD-SaaS)</w:t>
      </w:r>
      <w:r>
        <w:t xml:space="preserve"> </w:t>
      </w:r>
      <w:r>
        <w:t xml:space="preserve">destinada a</w:t>
      </w:r>
      <w:r>
        <w:t xml:space="preserve"> </w:t>
      </w:r>
      <w:r>
        <w:rPr>
          <w:b/>
          <w:bCs/>
        </w:rPr>
        <w:t xml:space="preserve">Pequeñas y Medianas Empresas (PyMEs)</w:t>
      </w:r>
      <w:r>
        <w:t xml:space="preserve"> </w:t>
      </w:r>
      <w:r>
        <w:t xml:space="preserve">de diversos rubros, con el fin de digitalizar, organizar, resguardar y gestionar documentación administrativa, legal, contable, laboral, técnica y comercial.</w:t>
      </w:r>
    </w:p>
    <w:p>
      <w:pPr>
        <w:pStyle w:val="BodyText"/>
      </w:pPr>
      <w:r>
        <w:t xml:space="preserve">La solución deberá garantizar</w:t>
      </w:r>
      <w:r>
        <w:t xml:space="preserve"> </w:t>
      </w:r>
      <w:r>
        <w:rPr>
          <w:b/>
          <w:bCs/>
        </w:rPr>
        <w:t xml:space="preserve">seguridad de la información, trazabilidad, eficiencia operativa, cumplimiento normativo y validez legal</w:t>
      </w:r>
      <w:r>
        <w:t xml:space="preserve"> </w:t>
      </w:r>
      <w:r>
        <w:t xml:space="preserve">de los documentos digitales, bajo un modelo</w:t>
      </w:r>
      <w:r>
        <w:t xml:space="preserve"> </w:t>
      </w:r>
      <w:r>
        <w:rPr>
          <w:b/>
          <w:bCs/>
        </w:rPr>
        <w:t xml:space="preserve">Software as a Service (SaaS)</w:t>
      </w:r>
      <w:r>
        <w:t xml:space="preserve"> </w:t>
      </w:r>
      <w:r>
        <w:t xml:space="preserve">escalable y de fácil adopción.</w:t>
      </w:r>
    </w:p>
    <w:p>
      <w:r>
        <w:pict>
          <v:rect style="width:0;height:1.5pt" o:hralign="center" o:hrstd="t" o:hr="t"/>
        </w:pict>
      </w:r>
    </w:p>
    <w:bookmarkEnd w:id="21"/>
    <w:bookmarkStart w:id="24" w:name="marco-normativo-y-de-referencia"/>
    <w:p>
      <w:pPr>
        <w:pStyle w:val="Heading2"/>
      </w:pPr>
      <w:r>
        <w:t xml:space="preserve">2. Marco Normativo y de Referencia</w:t>
      </w:r>
    </w:p>
    <w:bookmarkStart w:id="22" w:name="normas-iso"/>
    <w:p>
      <w:pPr>
        <w:pStyle w:val="Heading3"/>
      </w:pPr>
      <w:r>
        <w:t xml:space="preserve">2.1 Normas ISO</w:t>
      </w:r>
    </w:p>
    <w:p>
      <w:pPr>
        <w:pStyle w:val="FirstParagraph"/>
      </w:pPr>
      <w:r>
        <w:t xml:space="preserve">La plataforma deberá alinearse y permitir el cumplimiento de las siguientes normas internacionales:</w:t>
      </w:r>
    </w:p>
    <w:p>
      <w:pPr>
        <w:pStyle w:val="Compact"/>
        <w:numPr>
          <w:ilvl w:val="0"/>
          <w:numId w:val="1001"/>
        </w:numPr>
      </w:pPr>
      <w:r>
        <w:t xml:space="preserve">ISO 15489-1 / 15489-2 – Gestión de documentos</w:t>
      </w:r>
    </w:p>
    <w:p>
      <w:pPr>
        <w:pStyle w:val="Compact"/>
        <w:numPr>
          <w:ilvl w:val="0"/>
          <w:numId w:val="1001"/>
        </w:numPr>
      </w:pPr>
      <w:r>
        <w:t xml:space="preserve">ISO 30301 – Sistemas de gestión para documentos</w:t>
      </w:r>
    </w:p>
    <w:p>
      <w:pPr>
        <w:pStyle w:val="Compact"/>
        <w:numPr>
          <w:ilvl w:val="0"/>
          <w:numId w:val="1001"/>
        </w:numPr>
      </w:pPr>
      <w:r>
        <w:t xml:space="preserve">ISO 16175 – Requisitos funcionales para sistemas de gestión documental</w:t>
      </w:r>
    </w:p>
    <w:p>
      <w:pPr>
        <w:pStyle w:val="Compact"/>
        <w:numPr>
          <w:ilvl w:val="0"/>
          <w:numId w:val="1001"/>
        </w:numPr>
      </w:pPr>
      <w:r>
        <w:t xml:space="preserve">ISO 19005 (PDF/A-2 o superior) – Preservación digital</w:t>
      </w:r>
    </w:p>
    <w:p>
      <w:pPr>
        <w:pStyle w:val="Compact"/>
        <w:numPr>
          <w:ilvl w:val="0"/>
          <w:numId w:val="1001"/>
        </w:numPr>
      </w:pPr>
      <w:r>
        <w:t xml:space="preserve">ISO/IEC 27001 – Seguridad de la información</w:t>
      </w:r>
    </w:p>
    <w:p>
      <w:pPr>
        <w:pStyle w:val="Compact"/>
        <w:numPr>
          <w:ilvl w:val="0"/>
          <w:numId w:val="1001"/>
        </w:numPr>
      </w:pPr>
      <w:r>
        <w:t xml:space="preserve">ISO/IEC 27002 – Controles de seguridad</w:t>
      </w:r>
    </w:p>
    <w:p>
      <w:pPr>
        <w:pStyle w:val="Compact"/>
        <w:numPr>
          <w:ilvl w:val="0"/>
          <w:numId w:val="1001"/>
        </w:numPr>
      </w:pPr>
      <w:r>
        <w:t xml:space="preserve">ISO/IEC 27701 – Gestión de información personal</w:t>
      </w:r>
    </w:p>
    <w:bookmarkEnd w:id="22"/>
    <w:bookmarkStart w:id="23" w:name="legislación-argentina-aplicable"/>
    <w:p>
      <w:pPr>
        <w:pStyle w:val="Heading3"/>
      </w:pPr>
      <w:r>
        <w:t xml:space="preserve">2.2 Legislación Argentina Aplicable</w:t>
      </w:r>
    </w:p>
    <w:p>
      <w:pPr>
        <w:pStyle w:val="Compact"/>
        <w:numPr>
          <w:ilvl w:val="0"/>
          <w:numId w:val="1002"/>
        </w:numPr>
      </w:pPr>
      <w:r>
        <w:t xml:space="preserve">Ley 25.326 – Protección de Datos Personales</w:t>
      </w:r>
    </w:p>
    <w:p>
      <w:pPr>
        <w:pStyle w:val="Compact"/>
        <w:numPr>
          <w:ilvl w:val="0"/>
          <w:numId w:val="1002"/>
        </w:numPr>
      </w:pPr>
      <w:r>
        <w:t xml:space="preserve">Decreto 1558/2001</w:t>
      </w:r>
    </w:p>
    <w:p>
      <w:pPr>
        <w:pStyle w:val="Compact"/>
        <w:numPr>
          <w:ilvl w:val="0"/>
          <w:numId w:val="1002"/>
        </w:numPr>
      </w:pPr>
      <w:r>
        <w:t xml:space="preserve">Ley 25.506 – Firma Digital</w:t>
      </w:r>
    </w:p>
    <w:p>
      <w:pPr>
        <w:pStyle w:val="Compact"/>
        <w:numPr>
          <w:ilvl w:val="0"/>
          <w:numId w:val="1002"/>
        </w:numPr>
      </w:pPr>
      <w:r>
        <w:t xml:space="preserve">Código Civil y Comercial de la Nación (validez probatoria del documento digital)</w:t>
      </w:r>
    </w:p>
    <w:p>
      <w:pPr>
        <w:pStyle w:val="Compact"/>
        <w:numPr>
          <w:ilvl w:val="0"/>
          <w:numId w:val="1002"/>
        </w:numPr>
      </w:pPr>
      <w:r>
        <w:t xml:space="preserve">Normativa AFIP (documentación contable y fiscal)</w:t>
      </w:r>
    </w:p>
    <w:p>
      <w:pPr>
        <w:pStyle w:val="Compact"/>
        <w:numPr>
          <w:ilvl w:val="0"/>
          <w:numId w:val="1002"/>
        </w:numPr>
      </w:pPr>
      <w:r>
        <w:t xml:space="preserve">Normativa laboral vigente (documentación de RRHH)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lcance-de-la-plataforma"/>
    <w:p>
      <w:pPr>
        <w:pStyle w:val="Heading2"/>
      </w:pPr>
      <w:r>
        <w:t xml:space="preserve">3. Alcance de la Plataforma</w:t>
      </w:r>
    </w:p>
    <w:p>
      <w:pPr>
        <w:pStyle w:val="FirstParagraph"/>
      </w:pPr>
      <w:r>
        <w:t xml:space="preserve">La plataforma SaaS comprenderá los siguientes módulos funcionales:</w:t>
      </w:r>
    </w:p>
    <w:p>
      <w:pPr>
        <w:pStyle w:val="Compact"/>
        <w:numPr>
          <w:ilvl w:val="0"/>
          <w:numId w:val="1003"/>
        </w:numPr>
      </w:pPr>
      <w:r>
        <w:t xml:space="preserve">Gestión Documental Centralizada</w:t>
      </w:r>
    </w:p>
    <w:p>
      <w:pPr>
        <w:pStyle w:val="Compact"/>
        <w:numPr>
          <w:ilvl w:val="0"/>
          <w:numId w:val="1003"/>
        </w:numPr>
      </w:pPr>
      <w:r>
        <w:t xml:space="preserve">Digitalización y Captura de Documentos</w:t>
      </w:r>
    </w:p>
    <w:p>
      <w:pPr>
        <w:pStyle w:val="Compact"/>
        <w:numPr>
          <w:ilvl w:val="0"/>
          <w:numId w:val="1003"/>
        </w:numPr>
      </w:pPr>
      <w:r>
        <w:t xml:space="preserve">Búsqueda y Recuperación Avanzada</w:t>
      </w:r>
    </w:p>
    <w:p>
      <w:pPr>
        <w:pStyle w:val="Compact"/>
        <w:numPr>
          <w:ilvl w:val="0"/>
          <w:numId w:val="1003"/>
        </w:numPr>
      </w:pPr>
      <w:r>
        <w:t xml:space="preserve">Seguridad y Control de Accesos</w:t>
      </w:r>
    </w:p>
    <w:p>
      <w:pPr>
        <w:pStyle w:val="Compact"/>
        <w:numPr>
          <w:ilvl w:val="0"/>
          <w:numId w:val="1003"/>
        </w:numPr>
      </w:pPr>
      <w:r>
        <w:t xml:space="preserve">Firma Electrónica y Digital</w:t>
      </w:r>
    </w:p>
    <w:p>
      <w:pPr>
        <w:pStyle w:val="Compact"/>
        <w:numPr>
          <w:ilvl w:val="0"/>
          <w:numId w:val="1003"/>
        </w:numPr>
      </w:pPr>
      <w:r>
        <w:t xml:space="preserve">Auditoría y Trazabilidad</w:t>
      </w:r>
    </w:p>
    <w:p>
      <w:pPr>
        <w:pStyle w:val="Compact"/>
        <w:numPr>
          <w:ilvl w:val="0"/>
          <w:numId w:val="1003"/>
        </w:numPr>
      </w:pPr>
      <w:r>
        <w:t xml:space="preserve">Administración Multi-tenant</w:t>
      </w:r>
    </w:p>
    <w:p>
      <w:pPr>
        <w:pStyle w:val="Compact"/>
        <w:numPr>
          <w:ilvl w:val="0"/>
          <w:numId w:val="1003"/>
        </w:numPr>
      </w:pPr>
      <w:r>
        <w:t xml:space="preserve">Integraciones con Sistemas Empresariales</w:t>
      </w:r>
    </w:p>
    <w:p>
      <w:r>
        <w:pict>
          <v:rect style="width:0;height:1.5pt" o:hralign="center" o:hrstd="t" o:hr="t"/>
        </w:pict>
      </w:r>
    </w:p>
    <w:bookmarkEnd w:id="25"/>
    <w:bookmarkStart w:id="30" w:name="arquitectura-tecnológica"/>
    <w:p>
      <w:pPr>
        <w:pStyle w:val="Heading2"/>
      </w:pPr>
      <w:r>
        <w:t xml:space="preserve">4. Arquitectura Tecnológica</w:t>
      </w:r>
    </w:p>
    <w:bookmarkStart w:id="26" w:name="modelo-saas"/>
    <w:p>
      <w:pPr>
        <w:pStyle w:val="Heading3"/>
      </w:pPr>
      <w:r>
        <w:t xml:space="preserve">4.1 Modelo SaaS</w:t>
      </w:r>
    </w:p>
    <w:p>
      <w:pPr>
        <w:pStyle w:val="Compact"/>
        <w:numPr>
          <w:ilvl w:val="0"/>
          <w:numId w:val="1004"/>
        </w:numPr>
      </w:pPr>
      <w:r>
        <w:t xml:space="preserve">Arquitectura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con aislamiento lógico de datos por empresa</w:t>
      </w:r>
    </w:p>
    <w:p>
      <w:pPr>
        <w:pStyle w:val="Compact"/>
        <w:numPr>
          <w:ilvl w:val="0"/>
          <w:numId w:val="1004"/>
        </w:numPr>
      </w:pPr>
      <w:r>
        <w:t xml:space="preserve">Escalabilidad horizontal</w:t>
      </w:r>
    </w:p>
    <w:p>
      <w:pPr>
        <w:pStyle w:val="Compact"/>
        <w:numPr>
          <w:ilvl w:val="0"/>
          <w:numId w:val="1004"/>
        </w:numPr>
      </w:pPr>
      <w:r>
        <w:t xml:space="preserve">Alta disponibilidad</w:t>
      </w:r>
    </w:p>
    <w:p>
      <w:pPr>
        <w:pStyle w:val="Compact"/>
        <w:numPr>
          <w:ilvl w:val="0"/>
          <w:numId w:val="1004"/>
        </w:numPr>
      </w:pPr>
      <w:r>
        <w:t xml:space="preserve">Acceso vía navegador web</w:t>
      </w:r>
    </w:p>
    <w:p>
      <w:pPr>
        <w:pStyle w:val="Compact"/>
        <w:numPr>
          <w:ilvl w:val="0"/>
          <w:numId w:val="1004"/>
        </w:numPr>
      </w:pPr>
      <w:r>
        <w:t xml:space="preserve">Esquema de suscripción mensual/anual</w:t>
      </w:r>
    </w:p>
    <w:bookmarkEnd w:id="26"/>
    <w:bookmarkStart w:id="27" w:name="backend"/>
    <w:p>
      <w:pPr>
        <w:pStyle w:val="Heading3"/>
      </w:pPr>
      <w:r>
        <w:t xml:space="preserve">4.2 Backend</w:t>
      </w:r>
    </w:p>
    <w:p>
      <w:pPr>
        <w:pStyle w:val="Compact"/>
        <w:numPr>
          <w:ilvl w:val="0"/>
          <w:numId w:val="1005"/>
        </w:numPr>
      </w:pPr>
      <w:r>
        <w:t xml:space="preserve">Plataforma:</w:t>
      </w:r>
      <w:r>
        <w:t xml:space="preserve"> </w:t>
      </w:r>
      <w:r>
        <w:rPr>
          <w:b/>
          <w:bCs/>
        </w:rPr>
        <w:t xml:space="preserve">.NET 8 – ASP.NET Core</w:t>
      </w:r>
    </w:p>
    <w:p>
      <w:pPr>
        <w:pStyle w:val="Compact"/>
        <w:numPr>
          <w:ilvl w:val="0"/>
          <w:numId w:val="1005"/>
        </w:numPr>
      </w:pPr>
      <w:r>
        <w:t xml:space="preserve">Arquitectura: Clean Architecture / DDD</w:t>
      </w:r>
    </w:p>
    <w:p>
      <w:pPr>
        <w:pStyle w:val="Compact"/>
        <w:numPr>
          <w:ilvl w:val="0"/>
          <w:numId w:val="1005"/>
        </w:numPr>
      </w:pPr>
      <w:r>
        <w:t xml:space="preserve">APIs REST seguras</w:t>
      </w:r>
    </w:p>
    <w:p>
      <w:pPr>
        <w:pStyle w:val="Compact"/>
        <w:numPr>
          <w:ilvl w:val="0"/>
          <w:numId w:val="1005"/>
        </w:numPr>
      </w:pPr>
      <w:r>
        <w:t xml:space="preserve">Autenticación: OAuth2 / OpenID Connect</w:t>
      </w:r>
    </w:p>
    <w:p>
      <w:pPr>
        <w:pStyle w:val="Compact"/>
        <w:numPr>
          <w:ilvl w:val="0"/>
          <w:numId w:val="1005"/>
        </w:numPr>
      </w:pPr>
      <w:r>
        <w:t xml:space="preserve">Autorización: RBAC</w:t>
      </w:r>
    </w:p>
    <w:bookmarkEnd w:id="27"/>
    <w:bookmarkStart w:id="28" w:name="base-de-datos"/>
    <w:p>
      <w:pPr>
        <w:pStyle w:val="Heading3"/>
      </w:pPr>
      <w:r>
        <w:t xml:space="preserve">4.3 Base de Datos</w:t>
      </w:r>
    </w:p>
    <w:p>
      <w:pPr>
        <w:pStyle w:val="Compact"/>
        <w:numPr>
          <w:ilvl w:val="0"/>
          <w:numId w:val="1006"/>
        </w:numPr>
      </w:pPr>
      <w:r>
        <w:t xml:space="preserve">Motor:</w:t>
      </w:r>
      <w:r>
        <w:t xml:space="preserve"> </w:t>
      </w:r>
      <w:r>
        <w:rPr>
          <w:b/>
          <w:bCs/>
        </w:rPr>
        <w:t xml:space="preserve">PostgreSQL 15 o superior</w:t>
      </w:r>
    </w:p>
    <w:p>
      <w:pPr>
        <w:pStyle w:val="Compact"/>
        <w:numPr>
          <w:ilvl w:val="0"/>
          <w:numId w:val="1006"/>
        </w:numPr>
      </w:pPr>
      <w:r>
        <w:t xml:space="preserve">Cifrado de datos sensibles</w:t>
      </w:r>
    </w:p>
    <w:p>
      <w:pPr>
        <w:pStyle w:val="Compact"/>
        <w:numPr>
          <w:ilvl w:val="0"/>
          <w:numId w:val="1006"/>
        </w:numPr>
      </w:pPr>
      <w:r>
        <w:t xml:space="preserve">Auditoría de operaciones</w:t>
      </w:r>
    </w:p>
    <w:p>
      <w:pPr>
        <w:pStyle w:val="Compact"/>
        <w:numPr>
          <w:ilvl w:val="0"/>
          <w:numId w:val="1006"/>
        </w:numPr>
      </w:pPr>
      <w:r>
        <w:t xml:space="preserve">Backups automáticos</w:t>
      </w:r>
    </w:p>
    <w:bookmarkEnd w:id="28"/>
    <w:bookmarkStart w:id="29" w:name="frontend"/>
    <w:p>
      <w:pPr>
        <w:pStyle w:val="Heading3"/>
      </w:pPr>
      <w:r>
        <w:t xml:space="preserve">4.4 Frontend</w:t>
      </w:r>
    </w:p>
    <w:p>
      <w:pPr>
        <w:pStyle w:val="Compact"/>
        <w:numPr>
          <w:ilvl w:val="0"/>
          <w:numId w:val="1007"/>
        </w:numPr>
      </w:pPr>
      <w:r>
        <w:t xml:space="preserve">Tecnología:</w:t>
      </w:r>
      <w:r>
        <w:t xml:space="preserve"> </w:t>
      </w:r>
      <w:r>
        <w:rPr>
          <w:b/>
          <w:bCs/>
        </w:rPr>
        <w:t xml:space="preserve">Blazor Web</w:t>
      </w:r>
    </w:p>
    <w:p>
      <w:pPr>
        <w:pStyle w:val="Compact"/>
        <w:numPr>
          <w:ilvl w:val="0"/>
          <w:numId w:val="1007"/>
        </w:numPr>
      </w:pPr>
      <w:r>
        <w:t xml:space="preserve">Interfaz intuitiva orientada a usuarios no técnicos</w:t>
      </w:r>
    </w:p>
    <w:p>
      <w:pPr>
        <w:pStyle w:val="Compact"/>
        <w:numPr>
          <w:ilvl w:val="0"/>
          <w:numId w:val="1007"/>
        </w:numPr>
      </w:pPr>
      <w:r>
        <w:t xml:space="preserve">Diseño responsive</w:t>
      </w:r>
    </w:p>
    <w:p>
      <w:pPr>
        <w:pStyle w:val="Compact"/>
        <w:numPr>
          <w:ilvl w:val="0"/>
          <w:numId w:val="1007"/>
        </w:numPr>
      </w:pPr>
      <w:r>
        <w:t xml:space="preserve">Acceso HTTPS (TLS 1.2 o superior)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funcionalidades-obligatorias"/>
    <w:p>
      <w:pPr>
        <w:pStyle w:val="Heading2"/>
      </w:pPr>
      <w:r>
        <w:t xml:space="preserve">5. Funcionalidades Obligatorias</w:t>
      </w:r>
    </w:p>
    <w:bookmarkStart w:id="31" w:name="gestión-documental"/>
    <w:p>
      <w:pPr>
        <w:pStyle w:val="Heading3"/>
      </w:pPr>
      <w:r>
        <w:t xml:space="preserve">5.1 Gestión Documental</w:t>
      </w:r>
    </w:p>
    <w:p>
      <w:pPr>
        <w:pStyle w:val="Compact"/>
        <w:numPr>
          <w:ilvl w:val="0"/>
          <w:numId w:val="1008"/>
        </w:numPr>
      </w:pPr>
      <w:r>
        <w:t xml:space="preserve">Carga manual y por lotes</w:t>
      </w:r>
    </w:p>
    <w:p>
      <w:pPr>
        <w:pStyle w:val="Compact"/>
        <w:numPr>
          <w:ilvl w:val="0"/>
          <w:numId w:val="1008"/>
        </w:numPr>
      </w:pPr>
      <w:r>
        <w:t xml:space="preserve">Organización por carpetas y categorías</w:t>
      </w:r>
    </w:p>
    <w:p>
      <w:pPr>
        <w:pStyle w:val="Compact"/>
        <w:numPr>
          <w:ilvl w:val="0"/>
          <w:numId w:val="1008"/>
        </w:numPr>
      </w:pPr>
      <w:r>
        <w:t xml:space="preserve">Versionado de documentos</w:t>
      </w:r>
    </w:p>
    <w:p>
      <w:pPr>
        <w:pStyle w:val="Compact"/>
        <w:numPr>
          <w:ilvl w:val="0"/>
          <w:numId w:val="1008"/>
        </w:numPr>
      </w:pPr>
      <w:r>
        <w:t xml:space="preserve">Estados documentales</w:t>
      </w:r>
    </w:p>
    <w:p>
      <w:pPr>
        <w:pStyle w:val="Compact"/>
        <w:numPr>
          <w:ilvl w:val="0"/>
          <w:numId w:val="1008"/>
        </w:numPr>
      </w:pPr>
      <w:r>
        <w:t xml:space="preserve">Documentos compuestos</w:t>
      </w:r>
    </w:p>
    <w:bookmarkEnd w:id="31"/>
    <w:bookmarkStart w:id="32" w:name="digitalización-y-ocr"/>
    <w:p>
      <w:pPr>
        <w:pStyle w:val="Heading3"/>
      </w:pPr>
      <w:r>
        <w:t xml:space="preserve">5.2 Digitalización y OCR</w:t>
      </w:r>
    </w:p>
    <w:p>
      <w:pPr>
        <w:pStyle w:val="Compact"/>
        <w:numPr>
          <w:ilvl w:val="0"/>
          <w:numId w:val="1009"/>
        </w:numPr>
      </w:pPr>
      <w:r>
        <w:t xml:space="preserve">Digitalización desde escáner o carga de archivos</w:t>
      </w:r>
    </w:p>
    <w:p>
      <w:pPr>
        <w:pStyle w:val="Compact"/>
        <w:numPr>
          <w:ilvl w:val="0"/>
          <w:numId w:val="1009"/>
        </w:numPr>
      </w:pPr>
      <w:r>
        <w:t xml:space="preserve">OCR full-text</w:t>
      </w:r>
    </w:p>
    <w:p>
      <w:pPr>
        <w:pStyle w:val="Compact"/>
        <w:numPr>
          <w:ilvl w:val="0"/>
          <w:numId w:val="1009"/>
        </w:numPr>
      </w:pPr>
      <w:r>
        <w:t xml:space="preserve">Generación de PDF/A</w:t>
      </w:r>
    </w:p>
    <w:p>
      <w:pPr>
        <w:pStyle w:val="Compact"/>
        <w:numPr>
          <w:ilvl w:val="0"/>
          <w:numId w:val="1009"/>
        </w:numPr>
      </w:pPr>
      <w:r>
        <w:t xml:space="preserve">Normalización automática</w:t>
      </w:r>
    </w:p>
    <w:bookmarkEnd w:id="32"/>
    <w:bookmarkStart w:id="33" w:name="firma-y-aprobaciones"/>
    <w:p>
      <w:pPr>
        <w:pStyle w:val="Heading3"/>
      </w:pPr>
      <w:r>
        <w:t xml:space="preserve">5.3 Firma y Aprobaciones</w:t>
      </w:r>
    </w:p>
    <w:p>
      <w:pPr>
        <w:pStyle w:val="Compact"/>
        <w:numPr>
          <w:ilvl w:val="0"/>
          <w:numId w:val="1010"/>
        </w:numPr>
      </w:pPr>
      <w:r>
        <w:t xml:space="preserve">Firma electrónica avanzada</w:t>
      </w:r>
    </w:p>
    <w:p>
      <w:pPr>
        <w:pStyle w:val="Compact"/>
        <w:numPr>
          <w:ilvl w:val="0"/>
          <w:numId w:val="1010"/>
        </w:numPr>
      </w:pPr>
      <w:r>
        <w:t xml:space="preserve">Firma digital certificada (opcional)</w:t>
      </w:r>
    </w:p>
    <w:p>
      <w:pPr>
        <w:pStyle w:val="Compact"/>
        <w:numPr>
          <w:ilvl w:val="0"/>
          <w:numId w:val="1010"/>
        </w:numPr>
      </w:pPr>
      <w:r>
        <w:t xml:space="preserve">Flujos simples de aprobación</w:t>
      </w:r>
    </w:p>
    <w:bookmarkEnd w:id="33"/>
    <w:bookmarkStart w:id="34" w:name="búsqueda"/>
    <w:p>
      <w:pPr>
        <w:pStyle w:val="Heading3"/>
      </w:pPr>
      <w:r>
        <w:t xml:space="preserve">5.4 Búsqueda</w:t>
      </w:r>
    </w:p>
    <w:p>
      <w:pPr>
        <w:pStyle w:val="Compact"/>
        <w:numPr>
          <w:ilvl w:val="0"/>
          <w:numId w:val="1011"/>
        </w:numPr>
      </w:pPr>
      <w:r>
        <w:t xml:space="preserve">Por metadatos</w:t>
      </w:r>
    </w:p>
    <w:p>
      <w:pPr>
        <w:pStyle w:val="Compact"/>
        <w:numPr>
          <w:ilvl w:val="0"/>
          <w:numId w:val="1011"/>
        </w:numPr>
      </w:pPr>
      <w:r>
        <w:t xml:space="preserve">Por texto completo (OCR)</w:t>
      </w:r>
    </w:p>
    <w:p>
      <w:pPr>
        <w:pStyle w:val="Compact"/>
        <w:numPr>
          <w:ilvl w:val="0"/>
          <w:numId w:val="1011"/>
        </w:numPr>
      </w:pPr>
      <w:r>
        <w:t xml:space="preserve">Filtros por fecha, tipo, usuario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guridad-y-privacidad"/>
    <w:p>
      <w:pPr>
        <w:pStyle w:val="Heading2"/>
      </w:pPr>
      <w:r>
        <w:t xml:space="preserve">6. Seguridad y Privacidad</w:t>
      </w:r>
    </w:p>
    <w:p>
      <w:pPr>
        <w:pStyle w:val="Compact"/>
        <w:numPr>
          <w:ilvl w:val="0"/>
          <w:numId w:val="1012"/>
        </w:numPr>
      </w:pPr>
      <w:r>
        <w:t xml:space="preserve">Autenticación multifactor (opcional)</w:t>
      </w:r>
    </w:p>
    <w:p>
      <w:pPr>
        <w:pStyle w:val="Compact"/>
        <w:numPr>
          <w:ilvl w:val="0"/>
          <w:numId w:val="1012"/>
        </w:numPr>
      </w:pPr>
      <w:r>
        <w:t xml:space="preserve">Gestión de roles y permisos</w:t>
      </w:r>
    </w:p>
    <w:p>
      <w:pPr>
        <w:pStyle w:val="Compact"/>
        <w:numPr>
          <w:ilvl w:val="0"/>
          <w:numId w:val="1012"/>
        </w:numPr>
      </w:pPr>
      <w:r>
        <w:t xml:space="preserve">Cifrado AES-256 en reposo</w:t>
      </w:r>
    </w:p>
    <w:p>
      <w:pPr>
        <w:pStyle w:val="Compact"/>
        <w:numPr>
          <w:ilvl w:val="0"/>
          <w:numId w:val="1012"/>
        </w:numPr>
      </w:pPr>
      <w:r>
        <w:t xml:space="preserve">Hash SHA-256 por documento</w:t>
      </w:r>
    </w:p>
    <w:p>
      <w:pPr>
        <w:pStyle w:val="Compact"/>
        <w:numPr>
          <w:ilvl w:val="0"/>
          <w:numId w:val="1012"/>
        </w:numPr>
      </w:pPr>
      <w:r>
        <w:t xml:space="preserve">Cumplimiento Ley 25.326</w:t>
      </w:r>
    </w:p>
    <w:p>
      <w:r>
        <w:pict>
          <v:rect style="width:0;height:1.5pt" o:hralign="center" o:hrstd="t" o:hr="t"/>
        </w:pict>
      </w:r>
    </w:p>
    <w:bookmarkEnd w:id="36"/>
    <w:bookmarkStart w:id="37" w:name="auditoría-y-control"/>
    <w:p>
      <w:pPr>
        <w:pStyle w:val="Heading2"/>
      </w:pPr>
      <w:r>
        <w:t xml:space="preserve">7. Auditoría y Control</w:t>
      </w:r>
    </w:p>
    <w:p>
      <w:pPr>
        <w:pStyle w:val="Compact"/>
        <w:numPr>
          <w:ilvl w:val="0"/>
          <w:numId w:val="1013"/>
        </w:numPr>
      </w:pPr>
      <w:r>
        <w:t xml:space="preserve">Registro de acciones de usuarios</w:t>
      </w:r>
    </w:p>
    <w:p>
      <w:pPr>
        <w:pStyle w:val="Compact"/>
        <w:numPr>
          <w:ilvl w:val="0"/>
          <w:numId w:val="1013"/>
        </w:numPr>
      </w:pPr>
      <w:r>
        <w:t xml:space="preserve">Historial de versiones</w:t>
      </w:r>
    </w:p>
    <w:p>
      <w:pPr>
        <w:pStyle w:val="Compact"/>
        <w:numPr>
          <w:ilvl w:val="0"/>
          <w:numId w:val="1013"/>
        </w:numPr>
      </w:pPr>
      <w:r>
        <w:t xml:space="preserve">Exportación de logs</w:t>
      </w:r>
    </w:p>
    <w:p>
      <w:pPr>
        <w:pStyle w:val="Compact"/>
        <w:numPr>
          <w:ilvl w:val="0"/>
          <w:numId w:val="1013"/>
        </w:numPr>
      </w:pPr>
      <w:r>
        <w:t xml:space="preserve">Evidencia para auditorías internas y externas</w:t>
      </w:r>
    </w:p>
    <w:p>
      <w:r>
        <w:pict>
          <v:rect style="width:0;height:1.5pt" o:hralign="center" o:hrstd="t" o:hr="t"/>
        </w:pict>
      </w:r>
    </w:p>
    <w:bookmarkEnd w:id="37"/>
    <w:bookmarkStart w:id="38" w:name="disponibilidad-y-continuidad"/>
    <w:p>
      <w:pPr>
        <w:pStyle w:val="Heading2"/>
      </w:pPr>
      <w:r>
        <w:t xml:space="preserve">8. Disponibilidad y Continuidad</w:t>
      </w:r>
    </w:p>
    <w:p>
      <w:pPr>
        <w:pStyle w:val="Compact"/>
        <w:numPr>
          <w:ilvl w:val="0"/>
          <w:numId w:val="1014"/>
        </w:numPr>
      </w:pPr>
      <w:r>
        <w:t xml:space="preserve">SLA objetivo: 99,5%</w:t>
      </w:r>
    </w:p>
    <w:p>
      <w:pPr>
        <w:pStyle w:val="Compact"/>
        <w:numPr>
          <w:ilvl w:val="0"/>
          <w:numId w:val="1014"/>
        </w:numPr>
      </w:pPr>
      <w:r>
        <w:t xml:space="preserve">Backups diarios y semanales</w:t>
      </w:r>
    </w:p>
    <w:p>
      <w:pPr>
        <w:pStyle w:val="Compact"/>
        <w:numPr>
          <w:ilvl w:val="0"/>
          <w:numId w:val="1014"/>
        </w:numPr>
      </w:pPr>
      <w:r>
        <w:t xml:space="preserve">Recuperación ante incidentes</w:t>
      </w:r>
    </w:p>
    <w:p>
      <w:pPr>
        <w:pStyle w:val="Compact"/>
        <w:numPr>
          <w:ilvl w:val="0"/>
          <w:numId w:val="1014"/>
        </w:numPr>
      </w:pPr>
      <w:r>
        <w:t xml:space="preserve">Monitoreo continuo</w:t>
      </w:r>
    </w:p>
    <w:p>
      <w:r>
        <w:pict>
          <v:rect style="width:0;height:1.5pt" o:hralign="center" o:hrstd="t" o:hr="t"/>
        </w:pict>
      </w:r>
    </w:p>
    <w:bookmarkEnd w:id="38"/>
    <w:bookmarkStart w:id="39" w:name="entregables"/>
    <w:p>
      <w:pPr>
        <w:pStyle w:val="Heading2"/>
      </w:pPr>
      <w:r>
        <w:t xml:space="preserve">9. Entregables</w:t>
      </w:r>
    </w:p>
    <w:p>
      <w:pPr>
        <w:pStyle w:val="Compact"/>
        <w:numPr>
          <w:ilvl w:val="0"/>
          <w:numId w:val="1015"/>
        </w:numPr>
      </w:pPr>
      <w:r>
        <w:t xml:space="preserve">Plataforma SaaS operativa</w:t>
      </w:r>
    </w:p>
    <w:p>
      <w:pPr>
        <w:pStyle w:val="Compact"/>
        <w:numPr>
          <w:ilvl w:val="0"/>
          <w:numId w:val="1015"/>
        </w:numPr>
      </w:pPr>
      <w:r>
        <w:t xml:space="preserve">Manual de usuario</w:t>
      </w:r>
    </w:p>
    <w:p>
      <w:pPr>
        <w:pStyle w:val="Compact"/>
        <w:numPr>
          <w:ilvl w:val="0"/>
          <w:numId w:val="1015"/>
        </w:numPr>
      </w:pPr>
      <w:r>
        <w:t xml:space="preserve">Manual técnico</w:t>
      </w:r>
    </w:p>
    <w:p>
      <w:pPr>
        <w:pStyle w:val="Compact"/>
        <w:numPr>
          <w:ilvl w:val="0"/>
          <w:numId w:val="1015"/>
        </w:numPr>
      </w:pPr>
      <w:r>
        <w:t xml:space="preserve">Manual de seguridad</w:t>
      </w:r>
    </w:p>
    <w:p>
      <w:pPr>
        <w:pStyle w:val="Compact"/>
        <w:numPr>
          <w:ilvl w:val="0"/>
          <w:numId w:val="1015"/>
        </w:numPr>
      </w:pPr>
      <w:r>
        <w:t xml:space="preserve">Capacitación inicial</w:t>
      </w:r>
    </w:p>
    <w:p>
      <w:pPr>
        <w:pStyle w:val="Compact"/>
        <w:numPr>
          <w:ilvl w:val="0"/>
          <w:numId w:val="1015"/>
        </w:numPr>
      </w:pPr>
      <w:r>
        <w:t xml:space="preserve">Documentación de cumplimiento normativo</w:t>
      </w:r>
    </w:p>
    <w:p>
      <w:r>
        <w:pict>
          <v:rect style="width:0;height:1.5pt" o:hralign="center" o:hrstd="t" o:hr="t"/>
        </w:pict>
      </w:r>
    </w:p>
    <w:bookmarkEnd w:id="39"/>
    <w:bookmarkStart w:id="46" w:name="X635b9d91267e1ebc41fda787066ef870ba130f7"/>
    <w:p>
      <w:pPr>
        <w:pStyle w:val="Heading2"/>
      </w:pPr>
      <w:r>
        <w:t xml:space="preserve">10. Esquema Económico – Modelo SaaS (Valores de Referencia 2025)</w:t>
      </w:r>
    </w:p>
    <w:bookmarkStart w:id="40" w:name="setup-inicial-por-empresa"/>
    <w:p>
      <w:pPr>
        <w:pStyle w:val="Heading3"/>
      </w:pPr>
      <w:r>
        <w:t xml:space="preserve">10.1 Setup Inicial (por empresa)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Monto 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empresa (tenant)</w:t>
            </w:r>
          </w:p>
        </w:tc>
        <w:tc>
          <w:tcPr/>
          <w:p>
            <w:pPr>
              <w:pStyle w:val="Compact"/>
            </w:pPr>
            <w:r>
              <w:t xml:space="preserve">$250.000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 inicial</w:t>
            </w:r>
          </w:p>
        </w:tc>
        <w:tc>
          <w:tcPr/>
          <w:p>
            <w:pPr>
              <w:pStyle w:val="Compact"/>
            </w:pPr>
            <w:r>
              <w:t xml:space="preserve">$200.000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Capacitación inicial</w:t>
            </w:r>
          </w:p>
        </w:tc>
        <w:tc>
          <w:tcPr/>
          <w:p>
            <w:pPr>
              <w:pStyle w:val="Compact"/>
            </w:pPr>
            <w:r>
              <w:t xml:space="preserve">$150.000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Setup Inicial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$600.000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4" w:name="planes-de-suscripción"/>
    <w:p>
      <w:pPr>
        <w:pStyle w:val="Heading3"/>
      </w:pPr>
      <w:r>
        <w:t xml:space="preserve">10.2 Planes de Suscripción</w:t>
      </w:r>
    </w:p>
    <w:bookmarkStart w:id="41" w:name="plan-pyme-básico"/>
    <w:p>
      <w:pPr>
        <w:pStyle w:val="Heading4"/>
      </w:pPr>
      <w:r>
        <w:t xml:space="preserve">Plan PyME Básico</w:t>
      </w:r>
    </w:p>
    <w:p>
      <w:pPr>
        <w:pStyle w:val="Compact"/>
        <w:numPr>
          <w:ilvl w:val="0"/>
          <w:numId w:val="1016"/>
        </w:numPr>
      </w:pPr>
      <w:r>
        <w:t xml:space="preserve">Hasta 5 usuarios</w:t>
      </w:r>
    </w:p>
    <w:p>
      <w:pPr>
        <w:pStyle w:val="Compact"/>
        <w:numPr>
          <w:ilvl w:val="0"/>
          <w:numId w:val="1016"/>
        </w:numPr>
      </w:pPr>
      <w:r>
        <w:t xml:space="preserve">30 GB de almacenamiento</w:t>
      </w:r>
    </w:p>
    <w:p>
      <w:pPr>
        <w:pStyle w:val="Compact"/>
        <w:numPr>
          <w:ilvl w:val="0"/>
          <w:numId w:val="1016"/>
        </w:numPr>
      </w:pPr>
      <w:r>
        <w:t xml:space="preserve">OCR incluido</w:t>
      </w:r>
    </w:p>
    <w:p>
      <w:pPr>
        <w:pStyle w:val="Compact"/>
        <w:numPr>
          <w:ilvl w:val="0"/>
          <w:numId w:val="1016"/>
        </w:numPr>
      </w:pPr>
      <w:r>
        <w:t xml:space="preserve">Soporte estándar</w:t>
      </w:r>
    </w:p>
    <w:p>
      <w:pPr>
        <w:pStyle w:val="FirstParagraph"/>
      </w:pPr>
      <w:r>
        <w:rPr>
          <w:b/>
          <w:bCs/>
        </w:rPr>
        <w:t xml:space="preserve">$120.000 / mes</w:t>
      </w:r>
    </w:p>
    <w:bookmarkEnd w:id="41"/>
    <w:bookmarkStart w:id="42" w:name="plan-pyme-avanzado"/>
    <w:p>
      <w:pPr>
        <w:pStyle w:val="Heading4"/>
      </w:pPr>
      <w:r>
        <w:t xml:space="preserve">Plan PyME Avanzado</w:t>
      </w:r>
    </w:p>
    <w:p>
      <w:pPr>
        <w:pStyle w:val="Compact"/>
        <w:numPr>
          <w:ilvl w:val="0"/>
          <w:numId w:val="1017"/>
        </w:numPr>
      </w:pPr>
      <w:r>
        <w:t xml:space="preserve">Hasta 15 usuarios</w:t>
      </w:r>
    </w:p>
    <w:p>
      <w:pPr>
        <w:pStyle w:val="Compact"/>
        <w:numPr>
          <w:ilvl w:val="0"/>
          <w:numId w:val="1017"/>
        </w:numPr>
      </w:pPr>
      <w:r>
        <w:t xml:space="preserve">100 GB de almacenamiento</w:t>
      </w:r>
    </w:p>
    <w:p>
      <w:pPr>
        <w:pStyle w:val="Compact"/>
        <w:numPr>
          <w:ilvl w:val="0"/>
          <w:numId w:val="1017"/>
        </w:numPr>
      </w:pPr>
      <w:r>
        <w:t xml:space="preserve">Firma electrónica</w:t>
      </w:r>
    </w:p>
    <w:p>
      <w:pPr>
        <w:pStyle w:val="Compact"/>
        <w:numPr>
          <w:ilvl w:val="0"/>
          <w:numId w:val="1017"/>
        </w:numPr>
      </w:pPr>
      <w:r>
        <w:t xml:space="preserve">Soporte prioritario</w:t>
      </w:r>
    </w:p>
    <w:p>
      <w:pPr>
        <w:pStyle w:val="FirstParagraph"/>
      </w:pPr>
      <w:r>
        <w:rPr>
          <w:b/>
          <w:bCs/>
        </w:rPr>
        <w:t xml:space="preserve">$280.000 / mes</w:t>
      </w:r>
    </w:p>
    <w:bookmarkEnd w:id="42"/>
    <w:bookmarkStart w:id="43" w:name="plan-pyme-plus"/>
    <w:p>
      <w:pPr>
        <w:pStyle w:val="Heading4"/>
      </w:pPr>
      <w:r>
        <w:t xml:space="preserve">Plan PyME Plus</w:t>
      </w:r>
    </w:p>
    <w:p>
      <w:pPr>
        <w:pStyle w:val="Compact"/>
        <w:numPr>
          <w:ilvl w:val="0"/>
          <w:numId w:val="1018"/>
        </w:numPr>
      </w:pPr>
      <w:r>
        <w:t xml:space="preserve">Hasta 40 usuarios</w:t>
      </w:r>
    </w:p>
    <w:p>
      <w:pPr>
        <w:pStyle w:val="Compact"/>
        <w:numPr>
          <w:ilvl w:val="0"/>
          <w:numId w:val="1018"/>
        </w:numPr>
      </w:pPr>
      <w:r>
        <w:t xml:space="preserve">300 GB de almacenamiento</w:t>
      </w:r>
    </w:p>
    <w:p>
      <w:pPr>
        <w:pStyle w:val="Compact"/>
        <w:numPr>
          <w:ilvl w:val="0"/>
          <w:numId w:val="1018"/>
        </w:numPr>
      </w:pPr>
      <w:r>
        <w:t xml:space="preserve">Firma digital certificada</w:t>
      </w:r>
    </w:p>
    <w:p>
      <w:pPr>
        <w:pStyle w:val="Compact"/>
        <w:numPr>
          <w:ilvl w:val="0"/>
          <w:numId w:val="1018"/>
        </w:numPr>
      </w:pPr>
      <w:r>
        <w:t xml:space="preserve">Integraciones básicas</w:t>
      </w:r>
    </w:p>
    <w:p>
      <w:pPr>
        <w:pStyle w:val="FirstParagraph"/>
      </w:pPr>
      <w:r>
        <w:rPr>
          <w:b/>
          <w:bCs/>
        </w:rPr>
        <w:t xml:space="preserve">$520.000 / mes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ervicios-adicionales"/>
    <w:p>
      <w:pPr>
        <w:pStyle w:val="Heading3"/>
      </w:pPr>
      <w:r>
        <w:t xml:space="preserve">10.3 Servicios Adicionales</w:t>
      </w:r>
    </w:p>
    <w:p>
      <w:pPr>
        <w:pStyle w:val="Compact"/>
        <w:numPr>
          <w:ilvl w:val="0"/>
          <w:numId w:val="1019"/>
        </w:numPr>
      </w:pPr>
      <w:r>
        <w:t xml:space="preserve">Usuario adicional: $12.000 / mes</w:t>
      </w:r>
    </w:p>
    <w:p>
      <w:pPr>
        <w:pStyle w:val="Compact"/>
        <w:numPr>
          <w:ilvl w:val="0"/>
          <w:numId w:val="1019"/>
        </w:numPr>
      </w:pPr>
      <w:r>
        <w:t xml:space="preserve">Storage adicional (50 GB): $28.000 / mes</w:t>
      </w:r>
    </w:p>
    <w:p>
      <w:pPr>
        <w:pStyle w:val="Compact"/>
        <w:numPr>
          <w:ilvl w:val="0"/>
          <w:numId w:val="1019"/>
        </w:numPr>
      </w:pPr>
      <w:r>
        <w:t xml:space="preserve">Integraciones ERP / contables: a cotizar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diciones-comerciales"/>
    <w:p>
      <w:pPr>
        <w:pStyle w:val="Heading2"/>
      </w:pPr>
      <w:r>
        <w:t xml:space="preserve">11. Condiciones Comerciales</w:t>
      </w:r>
    </w:p>
    <w:p>
      <w:pPr>
        <w:pStyle w:val="Compact"/>
        <w:numPr>
          <w:ilvl w:val="0"/>
          <w:numId w:val="1020"/>
        </w:numPr>
      </w:pPr>
      <w:r>
        <w:t xml:space="preserve">Valores expresados en ARS + IVA</w:t>
      </w:r>
    </w:p>
    <w:p>
      <w:pPr>
        <w:pStyle w:val="Compact"/>
        <w:numPr>
          <w:ilvl w:val="0"/>
          <w:numId w:val="1020"/>
        </w:numPr>
      </w:pPr>
      <w:r>
        <w:t xml:space="preserve">Ajuste semestral por IPC</w:t>
      </w:r>
    </w:p>
    <w:p>
      <w:pPr>
        <w:pStyle w:val="Compact"/>
        <w:numPr>
          <w:ilvl w:val="0"/>
          <w:numId w:val="1020"/>
        </w:numPr>
      </w:pPr>
      <w:r>
        <w:t xml:space="preserve">Contrato mínimo: 12 meses</w:t>
      </w:r>
    </w:p>
    <w:p>
      <w:pPr>
        <w:pStyle w:val="Compact"/>
        <w:numPr>
          <w:ilvl w:val="0"/>
          <w:numId w:val="1020"/>
        </w:numPr>
      </w:pPr>
      <w:r>
        <w:t xml:space="preserve">Soporte incluido según plan</w:t>
      </w:r>
    </w:p>
    <w:p>
      <w:r>
        <w:pict>
          <v:rect style="width:0;height:1.5pt" o:hralign="center" o:hrstd="t" o:hr="t"/>
        </w:pict>
      </w:r>
    </w:p>
    <w:bookmarkEnd w:id="47"/>
    <w:bookmarkStart w:id="48" w:name="observaciones-finales"/>
    <w:p>
      <w:pPr>
        <w:pStyle w:val="Heading2"/>
      </w:pPr>
      <w:r>
        <w:t xml:space="preserve">12. Observaciones Finales</w:t>
      </w:r>
    </w:p>
    <w:p>
      <w:pPr>
        <w:pStyle w:val="FirstParagraph"/>
      </w:pPr>
      <w:r>
        <w:t xml:space="preserve">La plataforma propuesta permite a las PyMEs</w:t>
      </w:r>
      <w:r>
        <w:t xml:space="preserve"> </w:t>
      </w:r>
      <w:r>
        <w:rPr>
          <w:b/>
          <w:bCs/>
        </w:rPr>
        <w:t xml:space="preserve">ordenar su información crítica, reducir riesgos legales, mejorar la productividad y avanzar en procesos de transformación digital</w:t>
      </w:r>
      <w:r>
        <w:t xml:space="preserve">, sin inversiones iniciales en infraestructura ni personal especializado.</w:t>
      </w:r>
    </w:p>
    <w:p>
      <w:r>
        <w:pict>
          <v:rect style="width:0;height:1.5pt" o:hralign="center" o:hrstd="t" o:hr="t"/>
        </w:pic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2026-01-07T21:03:39Z</dcterms:created>
  <dcterms:modified xsi:type="dcterms:W3CDTF">2026-01-07T21:03:39Z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