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pliego-técnico"/>
    <w:p>
      <w:pPr>
        <w:pStyle w:val="Heading1"/>
      </w:pPr>
      <w:r>
        <w:t xml:space="preserve">PLIEGO TÉCNICO</w:t>
      </w:r>
    </w:p>
    <w:bookmarkStart w:id="20" w:name="X3c5f86d0e92c1bc0c6db623cadb0186fd93405d"/>
    <w:p>
      <w:pPr>
        <w:pStyle w:val="Heading2"/>
      </w:pPr>
      <w:r>
        <w:t xml:space="preserve">Plataforma SaaS de Gestión Documental para Inmobiliarias, Estudios Jurídicos, Escribanías y Profesionales</w:t>
      </w:r>
    </w:p>
    <w:p>
      <w:r>
        <w:pict>
          <v:rect style="width:0;height:1.5pt" o:hralign="center" o:hrstd="t" o:hr="t"/>
        </w:pict>
      </w:r>
    </w:p>
    <w:bookmarkEnd w:id="20"/>
    <w:bookmarkStart w:id="21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El presente pliego tiene por objeto la</w:t>
      </w:r>
      <w:r>
        <w:t xml:space="preserve"> </w:t>
      </w:r>
      <w:r>
        <w:rPr>
          <w:b/>
          <w:bCs/>
        </w:rPr>
        <w:t xml:space="preserve">contratación del diseño, desarrollo, implementación, puesta en producción y operación</w:t>
      </w:r>
      <w:r>
        <w:t xml:space="preserve"> </w:t>
      </w:r>
      <w:r>
        <w:t xml:space="preserve">de una</w:t>
      </w:r>
      <w:r>
        <w:t xml:space="preserve"> </w:t>
      </w:r>
      <w:r>
        <w:rPr>
          <w:b/>
          <w:bCs/>
        </w:rPr>
        <w:t xml:space="preserve">Plataforma SaaS de Gestión Documental (SGD-SaaS)</w:t>
      </w:r>
      <w:r>
        <w:t xml:space="preserve"> </w:t>
      </w:r>
      <w:r>
        <w:t xml:space="preserve">orientada a</w:t>
      </w:r>
      <w:r>
        <w:t xml:space="preserve"> </w:t>
      </w:r>
      <w:r>
        <w:rPr>
          <w:b/>
          <w:bCs/>
        </w:rPr>
        <w:t xml:space="preserve">inmobiliarias, estudios jurídicos, escribanías, contadores, arquitectos, ingenieros y profesionales afines</w:t>
      </w:r>
      <w:r>
        <w:t xml:space="preserve">, garantizando la gestión integral, segura y legalmente válida de documentos digitales.</w:t>
      </w:r>
    </w:p>
    <w:p>
      <w:pPr>
        <w:pStyle w:val="BodyText"/>
      </w:pPr>
      <w:r>
        <w:t xml:space="preserve">La solución deberá operar bajo un</w:t>
      </w:r>
      <w:r>
        <w:t xml:space="preserve"> </w:t>
      </w:r>
      <w:r>
        <w:rPr>
          <w:b/>
          <w:bCs/>
        </w:rPr>
        <w:t xml:space="preserve">modelo Software as a Service (SaaS)</w:t>
      </w:r>
      <w:r>
        <w:t xml:space="preserve">, multi-tenant, escalable y accesible vía web, asegurando</w:t>
      </w:r>
      <w:r>
        <w:t xml:space="preserve"> </w:t>
      </w:r>
      <w:r>
        <w:rPr>
          <w:b/>
          <w:bCs/>
        </w:rPr>
        <w:t xml:space="preserve">autenticidad, integridad, confidencialidad, trazabilidad, disponibilidad y conservación legal</w:t>
      </w:r>
      <w:r>
        <w:t xml:space="preserve"> </w:t>
      </w:r>
      <w:r>
        <w:t xml:space="preserve">de la documentación.</w:t>
      </w:r>
    </w:p>
    <w:p>
      <w:r>
        <w:pict>
          <v:rect style="width:0;height:1.5pt" o:hralign="center" o:hrstd="t" o:hr="t"/>
        </w:pict>
      </w:r>
    </w:p>
    <w:bookmarkEnd w:id="21"/>
    <w:bookmarkStart w:id="24" w:name="marco-normativo-y-legal"/>
    <w:p>
      <w:pPr>
        <w:pStyle w:val="Heading2"/>
      </w:pPr>
      <w:r>
        <w:t xml:space="preserve">2. Marco Normativo y Legal</w:t>
      </w:r>
    </w:p>
    <w:bookmarkStart w:id="22" w:name="normas-iso"/>
    <w:p>
      <w:pPr>
        <w:pStyle w:val="Heading3"/>
      </w:pPr>
      <w:r>
        <w:t xml:space="preserve">2.1 Normas ISO</w:t>
      </w:r>
    </w:p>
    <w:p>
      <w:pPr>
        <w:pStyle w:val="FirstParagraph"/>
      </w:pPr>
      <w:r>
        <w:t xml:space="preserve">La plataforma deberá alinearse y permitir el cumplimiento de las siguientes normas:</w:t>
      </w:r>
    </w:p>
    <w:p>
      <w:pPr>
        <w:pStyle w:val="Compact"/>
        <w:numPr>
          <w:ilvl w:val="0"/>
          <w:numId w:val="1001"/>
        </w:numPr>
      </w:pPr>
      <w:r>
        <w:t xml:space="preserve">ISO 15489-1 / 15489-2 – Gestión de documentos</w:t>
      </w:r>
    </w:p>
    <w:p>
      <w:pPr>
        <w:pStyle w:val="Compact"/>
        <w:numPr>
          <w:ilvl w:val="0"/>
          <w:numId w:val="1001"/>
        </w:numPr>
      </w:pPr>
      <w:r>
        <w:t xml:space="preserve">ISO 30301 – Sistemas de gestión para documentos</w:t>
      </w:r>
    </w:p>
    <w:p>
      <w:pPr>
        <w:pStyle w:val="Compact"/>
        <w:numPr>
          <w:ilvl w:val="0"/>
          <w:numId w:val="1001"/>
        </w:numPr>
      </w:pPr>
      <w:r>
        <w:t xml:space="preserve">ISO 16175 – Requisitos funcionales para sistemas de gestión documental</w:t>
      </w:r>
    </w:p>
    <w:p>
      <w:pPr>
        <w:pStyle w:val="Compact"/>
        <w:numPr>
          <w:ilvl w:val="0"/>
          <w:numId w:val="1001"/>
        </w:numPr>
      </w:pPr>
      <w:r>
        <w:t xml:space="preserve">ISO/TR 13028 – Digitalización confiable</w:t>
      </w:r>
    </w:p>
    <w:p>
      <w:pPr>
        <w:pStyle w:val="Compact"/>
        <w:numPr>
          <w:ilvl w:val="0"/>
          <w:numId w:val="1001"/>
        </w:numPr>
      </w:pPr>
      <w:r>
        <w:t xml:space="preserve">ISO 19005 (PDF/A-2 o superior) – Preservación digital</w:t>
      </w:r>
    </w:p>
    <w:p>
      <w:pPr>
        <w:pStyle w:val="Compact"/>
        <w:numPr>
          <w:ilvl w:val="0"/>
          <w:numId w:val="1001"/>
        </w:numPr>
      </w:pPr>
      <w:r>
        <w:t xml:space="preserve">ISO/IEC 27001 – Seguridad de la información</w:t>
      </w:r>
    </w:p>
    <w:p>
      <w:pPr>
        <w:pStyle w:val="Compact"/>
        <w:numPr>
          <w:ilvl w:val="0"/>
          <w:numId w:val="1001"/>
        </w:numPr>
      </w:pPr>
      <w:r>
        <w:t xml:space="preserve">ISO/IEC 27002 – Controles de seguridad</w:t>
      </w:r>
    </w:p>
    <w:p>
      <w:pPr>
        <w:pStyle w:val="Compact"/>
        <w:numPr>
          <w:ilvl w:val="0"/>
          <w:numId w:val="1001"/>
        </w:numPr>
      </w:pPr>
      <w:r>
        <w:t xml:space="preserve">ISO/IEC 27701 – Gestión de información personal</w:t>
      </w:r>
    </w:p>
    <w:bookmarkEnd w:id="22"/>
    <w:bookmarkStart w:id="23" w:name="legislación-argentina-aplicable"/>
    <w:p>
      <w:pPr>
        <w:pStyle w:val="Heading3"/>
      </w:pPr>
      <w:r>
        <w:t xml:space="preserve">2.2 Legislación Argentina Aplicable</w:t>
      </w:r>
    </w:p>
    <w:p>
      <w:pPr>
        <w:pStyle w:val="Compact"/>
        <w:numPr>
          <w:ilvl w:val="0"/>
          <w:numId w:val="1002"/>
        </w:numPr>
      </w:pPr>
      <w:r>
        <w:t xml:space="preserve">Ley 25.326 – Protección de Datos Personales</w:t>
      </w:r>
    </w:p>
    <w:p>
      <w:pPr>
        <w:pStyle w:val="Compact"/>
        <w:numPr>
          <w:ilvl w:val="0"/>
          <w:numId w:val="1002"/>
        </w:numPr>
      </w:pPr>
      <w:r>
        <w:t xml:space="preserve">Decreto 1558/2001</w:t>
      </w:r>
    </w:p>
    <w:p>
      <w:pPr>
        <w:pStyle w:val="Compact"/>
        <w:numPr>
          <w:ilvl w:val="0"/>
          <w:numId w:val="1002"/>
        </w:numPr>
      </w:pPr>
      <w:r>
        <w:t xml:space="preserve">Ley 25.506 – Firma Digital</w:t>
      </w:r>
    </w:p>
    <w:p>
      <w:pPr>
        <w:pStyle w:val="Compact"/>
        <w:numPr>
          <w:ilvl w:val="0"/>
          <w:numId w:val="1002"/>
        </w:numPr>
      </w:pPr>
      <w:r>
        <w:t xml:space="preserve">Código Civil y Comercial de la Nación (validez probatoria del documento digital)</w:t>
      </w:r>
    </w:p>
    <w:p>
      <w:pPr>
        <w:pStyle w:val="Compact"/>
        <w:numPr>
          <w:ilvl w:val="0"/>
          <w:numId w:val="1002"/>
        </w:numPr>
      </w:pPr>
      <w:r>
        <w:t xml:space="preserve">Normativa UIF (cuando aplique, escribanías)</w:t>
      </w:r>
    </w:p>
    <w:p>
      <w:pPr>
        <w:pStyle w:val="Compact"/>
        <w:numPr>
          <w:ilvl w:val="0"/>
          <w:numId w:val="1002"/>
        </w:numPr>
      </w:pPr>
      <w:r>
        <w:t xml:space="preserve">Normas de los Colegios Profesionales correspondientes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lcance-de-la-plataforma"/>
    <w:p>
      <w:pPr>
        <w:pStyle w:val="Heading2"/>
      </w:pPr>
      <w:r>
        <w:t xml:space="preserve">3. Alcance de la Plataforma</w:t>
      </w:r>
    </w:p>
    <w:p>
      <w:pPr>
        <w:pStyle w:val="FirstParagraph"/>
      </w:pPr>
      <w:r>
        <w:t xml:space="preserve">La plataforma SaaS comprenderá los siguientes módulos:</w:t>
      </w:r>
    </w:p>
    <w:p>
      <w:pPr>
        <w:pStyle w:val="Compact"/>
        <w:numPr>
          <w:ilvl w:val="0"/>
          <w:numId w:val="1003"/>
        </w:numPr>
      </w:pPr>
      <w:r>
        <w:t xml:space="preserve">Gestión Documental Centralizada</w:t>
      </w:r>
    </w:p>
    <w:p>
      <w:pPr>
        <w:pStyle w:val="Compact"/>
        <w:numPr>
          <w:ilvl w:val="0"/>
          <w:numId w:val="1003"/>
        </w:numPr>
      </w:pPr>
      <w:r>
        <w:t xml:space="preserve">Digitalización y Captura</w:t>
      </w:r>
    </w:p>
    <w:p>
      <w:pPr>
        <w:pStyle w:val="Compact"/>
        <w:numPr>
          <w:ilvl w:val="0"/>
          <w:numId w:val="1003"/>
        </w:numPr>
      </w:pPr>
      <w:r>
        <w:t xml:space="preserve">Búsqueda Avanzada</w:t>
      </w:r>
    </w:p>
    <w:p>
      <w:pPr>
        <w:pStyle w:val="Compact"/>
        <w:numPr>
          <w:ilvl w:val="0"/>
          <w:numId w:val="1003"/>
        </w:numPr>
      </w:pPr>
      <w:r>
        <w:t xml:space="preserve">Seguridad y Control de Accesos</w:t>
      </w:r>
    </w:p>
    <w:p>
      <w:pPr>
        <w:pStyle w:val="Compact"/>
        <w:numPr>
          <w:ilvl w:val="0"/>
          <w:numId w:val="1003"/>
        </w:numPr>
      </w:pPr>
      <w:r>
        <w:t xml:space="preserve">Firma Digital y Electrónica</w:t>
      </w:r>
    </w:p>
    <w:p>
      <w:pPr>
        <w:pStyle w:val="Compact"/>
        <w:numPr>
          <w:ilvl w:val="0"/>
          <w:numId w:val="1003"/>
        </w:numPr>
      </w:pPr>
      <w:r>
        <w:t xml:space="preserve">Auditoría y Trazabilidad</w:t>
      </w:r>
    </w:p>
    <w:p>
      <w:pPr>
        <w:pStyle w:val="Compact"/>
        <w:numPr>
          <w:ilvl w:val="0"/>
          <w:numId w:val="1003"/>
        </w:numPr>
      </w:pPr>
      <w:r>
        <w:t xml:space="preserve">Administración Multi-tenant</w:t>
      </w:r>
    </w:p>
    <w:p>
      <w:pPr>
        <w:pStyle w:val="Compact"/>
        <w:numPr>
          <w:ilvl w:val="0"/>
          <w:numId w:val="1003"/>
        </w:numPr>
      </w:pPr>
      <w:r>
        <w:t xml:space="preserve">APIs de Integración</w:t>
      </w:r>
    </w:p>
    <w:p>
      <w:r>
        <w:pict>
          <v:rect style="width:0;height:1.5pt" o:hralign="center" o:hrstd="t" o:hr="t"/>
        </w:pict>
      </w:r>
    </w:p>
    <w:bookmarkEnd w:id="25"/>
    <w:bookmarkStart w:id="30" w:name="arquitectura-tecnológica"/>
    <w:p>
      <w:pPr>
        <w:pStyle w:val="Heading2"/>
      </w:pPr>
      <w:r>
        <w:t xml:space="preserve">4. Arquitectura Tecnológica</w:t>
      </w:r>
    </w:p>
    <w:bookmarkStart w:id="26" w:name="modelo-saas"/>
    <w:p>
      <w:pPr>
        <w:pStyle w:val="Heading3"/>
      </w:pPr>
      <w:r>
        <w:t xml:space="preserve">4.1 Modelo SaaS</w:t>
      </w:r>
    </w:p>
    <w:p>
      <w:pPr>
        <w:pStyle w:val="Compact"/>
        <w:numPr>
          <w:ilvl w:val="0"/>
          <w:numId w:val="1004"/>
        </w:numPr>
      </w:pPr>
      <w:r>
        <w:t xml:space="preserve">Arquitectura</w:t>
      </w:r>
      <w:r>
        <w:t xml:space="preserve"> </w:t>
      </w:r>
      <w:r>
        <w:rPr>
          <w:b/>
          <w:bCs/>
        </w:rPr>
        <w:t xml:space="preserve">multi-tenant lógica</w:t>
      </w:r>
      <w:r>
        <w:t xml:space="preserve">, con segregación estricta de datos por organización</w:t>
      </w:r>
    </w:p>
    <w:p>
      <w:pPr>
        <w:pStyle w:val="Compact"/>
        <w:numPr>
          <w:ilvl w:val="0"/>
          <w:numId w:val="1004"/>
        </w:numPr>
      </w:pPr>
      <w:r>
        <w:t xml:space="preserve">Escalabilidad horizontal</w:t>
      </w:r>
    </w:p>
    <w:p>
      <w:pPr>
        <w:pStyle w:val="Compact"/>
        <w:numPr>
          <w:ilvl w:val="0"/>
          <w:numId w:val="1004"/>
        </w:numPr>
      </w:pPr>
      <w:r>
        <w:t xml:space="preserve">Alta disponibilidad</w:t>
      </w:r>
    </w:p>
    <w:p>
      <w:pPr>
        <w:pStyle w:val="Compact"/>
        <w:numPr>
          <w:ilvl w:val="0"/>
          <w:numId w:val="1004"/>
        </w:numPr>
      </w:pPr>
      <w:r>
        <w:t xml:space="preserve">Facturación por suscripción</w:t>
      </w:r>
    </w:p>
    <w:bookmarkEnd w:id="26"/>
    <w:bookmarkStart w:id="27" w:name="backend"/>
    <w:p>
      <w:pPr>
        <w:pStyle w:val="Heading3"/>
      </w:pPr>
      <w:r>
        <w:t xml:space="preserve">4.2 Backend</w:t>
      </w:r>
    </w:p>
    <w:p>
      <w:pPr>
        <w:pStyle w:val="Compact"/>
        <w:numPr>
          <w:ilvl w:val="0"/>
          <w:numId w:val="1005"/>
        </w:numPr>
      </w:pPr>
      <w:r>
        <w:t xml:space="preserve">Plataforma:</w:t>
      </w:r>
      <w:r>
        <w:t xml:space="preserve"> </w:t>
      </w:r>
      <w:r>
        <w:rPr>
          <w:b/>
          <w:bCs/>
        </w:rPr>
        <w:t xml:space="preserve">.NET 8 – ASP.NET Core</w:t>
      </w:r>
    </w:p>
    <w:p>
      <w:pPr>
        <w:pStyle w:val="Compact"/>
        <w:numPr>
          <w:ilvl w:val="0"/>
          <w:numId w:val="1005"/>
        </w:numPr>
      </w:pPr>
      <w:r>
        <w:t xml:space="preserve">Arquitectura: Clean Architecture / DDD</w:t>
      </w:r>
    </w:p>
    <w:p>
      <w:pPr>
        <w:pStyle w:val="Compact"/>
        <w:numPr>
          <w:ilvl w:val="0"/>
          <w:numId w:val="1005"/>
        </w:numPr>
      </w:pPr>
      <w:r>
        <w:t xml:space="preserve">APIs REST seguras</w:t>
      </w:r>
    </w:p>
    <w:p>
      <w:pPr>
        <w:pStyle w:val="Compact"/>
        <w:numPr>
          <w:ilvl w:val="0"/>
          <w:numId w:val="1005"/>
        </w:numPr>
      </w:pPr>
      <w:r>
        <w:t xml:space="preserve">Autenticación: OAuth2 / OpenID Connect</w:t>
      </w:r>
    </w:p>
    <w:p>
      <w:pPr>
        <w:pStyle w:val="Compact"/>
        <w:numPr>
          <w:ilvl w:val="0"/>
          <w:numId w:val="1005"/>
        </w:numPr>
      </w:pPr>
      <w:r>
        <w:t xml:space="preserve">Autorización: RBAC + ABAC</w:t>
      </w:r>
    </w:p>
    <w:p>
      <w:pPr>
        <w:pStyle w:val="Compact"/>
        <w:numPr>
          <w:ilvl w:val="0"/>
          <w:numId w:val="1005"/>
        </w:numPr>
      </w:pPr>
      <w:r>
        <w:t xml:space="preserve">Servicios desacoplados</w:t>
      </w:r>
    </w:p>
    <w:bookmarkEnd w:id="27"/>
    <w:bookmarkStart w:id="28" w:name="base-de-datos"/>
    <w:p>
      <w:pPr>
        <w:pStyle w:val="Heading3"/>
      </w:pPr>
      <w:r>
        <w:t xml:space="preserve">4.3 Base de Datos</w:t>
      </w:r>
    </w:p>
    <w:p>
      <w:pPr>
        <w:pStyle w:val="Compact"/>
        <w:numPr>
          <w:ilvl w:val="0"/>
          <w:numId w:val="1006"/>
        </w:numPr>
      </w:pPr>
      <w:r>
        <w:t xml:space="preserve">Motor:</w:t>
      </w:r>
      <w:r>
        <w:t xml:space="preserve"> </w:t>
      </w:r>
      <w:r>
        <w:rPr>
          <w:b/>
          <w:bCs/>
        </w:rPr>
        <w:t xml:space="preserve">PostgreSQL 15 o superior</w:t>
      </w:r>
    </w:p>
    <w:p>
      <w:pPr>
        <w:pStyle w:val="Compact"/>
        <w:numPr>
          <w:ilvl w:val="0"/>
          <w:numId w:val="1006"/>
        </w:numPr>
      </w:pPr>
      <w:r>
        <w:t xml:space="preserve">Separación lógica por tenant</w:t>
      </w:r>
    </w:p>
    <w:p>
      <w:pPr>
        <w:pStyle w:val="Compact"/>
        <w:numPr>
          <w:ilvl w:val="0"/>
          <w:numId w:val="1006"/>
        </w:numPr>
      </w:pPr>
      <w:r>
        <w:t xml:space="preserve">Cifrado de datos sensibles</w:t>
      </w:r>
    </w:p>
    <w:p>
      <w:pPr>
        <w:pStyle w:val="Compact"/>
        <w:numPr>
          <w:ilvl w:val="0"/>
          <w:numId w:val="1006"/>
        </w:numPr>
      </w:pPr>
      <w:r>
        <w:t xml:space="preserve">Auditoría transaccional</w:t>
      </w:r>
    </w:p>
    <w:p>
      <w:pPr>
        <w:pStyle w:val="Compact"/>
        <w:numPr>
          <w:ilvl w:val="0"/>
          <w:numId w:val="1006"/>
        </w:numPr>
      </w:pPr>
      <w:r>
        <w:t xml:space="preserve">Backups automáticos</w:t>
      </w:r>
    </w:p>
    <w:bookmarkEnd w:id="28"/>
    <w:bookmarkStart w:id="29" w:name="frontend-web"/>
    <w:p>
      <w:pPr>
        <w:pStyle w:val="Heading3"/>
      </w:pPr>
      <w:r>
        <w:t xml:space="preserve">4.4 Frontend Web</w:t>
      </w:r>
    </w:p>
    <w:p>
      <w:pPr>
        <w:pStyle w:val="Compact"/>
        <w:numPr>
          <w:ilvl w:val="0"/>
          <w:numId w:val="1007"/>
        </w:numPr>
      </w:pPr>
      <w:r>
        <w:t xml:space="preserve">Tecnología:</w:t>
      </w:r>
      <w:r>
        <w:t xml:space="preserve"> </w:t>
      </w:r>
      <w:r>
        <w:rPr>
          <w:b/>
          <w:bCs/>
        </w:rPr>
        <w:t xml:space="preserve">Blazor Web</w:t>
      </w:r>
    </w:p>
    <w:p>
      <w:pPr>
        <w:pStyle w:val="Compact"/>
        <w:numPr>
          <w:ilvl w:val="0"/>
          <w:numId w:val="1007"/>
        </w:numPr>
      </w:pPr>
      <w:r>
        <w:t xml:space="preserve">Acceso vía HTTPS (TLS 1.2 o superior)</w:t>
      </w:r>
    </w:p>
    <w:p>
      <w:pPr>
        <w:pStyle w:val="Compact"/>
        <w:numPr>
          <w:ilvl w:val="0"/>
          <w:numId w:val="1007"/>
        </w:numPr>
      </w:pPr>
      <w:r>
        <w:t xml:space="preserve">Interfaz responsive</w:t>
      </w:r>
    </w:p>
    <w:p>
      <w:pPr>
        <w:pStyle w:val="Compact"/>
        <w:numPr>
          <w:ilvl w:val="0"/>
          <w:numId w:val="1007"/>
        </w:numPr>
      </w:pPr>
      <w:r>
        <w:t xml:space="preserve">Portal de administración por organización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funcionalidades-obligatorias"/>
    <w:p>
      <w:pPr>
        <w:pStyle w:val="Heading2"/>
      </w:pPr>
      <w:r>
        <w:t xml:space="preserve">5. Funcionalidades Obligatorias</w:t>
      </w:r>
    </w:p>
    <w:bookmarkStart w:id="31" w:name="gestión-documental"/>
    <w:p>
      <w:pPr>
        <w:pStyle w:val="Heading3"/>
      </w:pPr>
      <w:r>
        <w:t xml:space="preserve">5.1 Gestión Documental</w:t>
      </w:r>
    </w:p>
    <w:p>
      <w:pPr>
        <w:pStyle w:val="Compact"/>
        <w:numPr>
          <w:ilvl w:val="0"/>
          <w:numId w:val="1008"/>
        </w:numPr>
      </w:pPr>
      <w:r>
        <w:t xml:space="preserve">Alta, edición y versionado de documentos</w:t>
      </w:r>
    </w:p>
    <w:p>
      <w:pPr>
        <w:pStyle w:val="Compact"/>
        <w:numPr>
          <w:ilvl w:val="0"/>
          <w:numId w:val="1008"/>
        </w:numPr>
      </w:pPr>
      <w:r>
        <w:t xml:space="preserve">Documentos simples y compuestos</w:t>
      </w:r>
    </w:p>
    <w:p>
      <w:pPr>
        <w:pStyle w:val="Compact"/>
        <w:numPr>
          <w:ilvl w:val="0"/>
          <w:numId w:val="1008"/>
        </w:numPr>
      </w:pPr>
      <w:r>
        <w:t xml:space="preserve">Estados documentales</w:t>
      </w:r>
    </w:p>
    <w:p>
      <w:pPr>
        <w:pStyle w:val="Compact"/>
        <w:numPr>
          <w:ilvl w:val="0"/>
          <w:numId w:val="1008"/>
        </w:numPr>
      </w:pPr>
      <w:r>
        <w:t xml:space="preserve">Clasificación por carpetas y tipos documentales</w:t>
      </w:r>
    </w:p>
    <w:p>
      <w:pPr>
        <w:pStyle w:val="Compact"/>
        <w:numPr>
          <w:ilvl w:val="0"/>
          <w:numId w:val="1008"/>
        </w:numPr>
      </w:pPr>
      <w:r>
        <w:t xml:space="preserve">Políticas de retención configurables</w:t>
      </w:r>
    </w:p>
    <w:bookmarkEnd w:id="31"/>
    <w:bookmarkStart w:id="32" w:name="digitalización-y-ocr"/>
    <w:p>
      <w:pPr>
        <w:pStyle w:val="Heading3"/>
      </w:pPr>
      <w:r>
        <w:t xml:space="preserve">5.2 Digitalización y OCR</w:t>
      </w:r>
    </w:p>
    <w:p>
      <w:pPr>
        <w:pStyle w:val="Compact"/>
        <w:numPr>
          <w:ilvl w:val="0"/>
          <w:numId w:val="1009"/>
        </w:numPr>
      </w:pPr>
      <w:r>
        <w:t xml:space="preserve">Carga manual y por lotes</w:t>
      </w:r>
    </w:p>
    <w:p>
      <w:pPr>
        <w:pStyle w:val="Compact"/>
        <w:numPr>
          <w:ilvl w:val="0"/>
          <w:numId w:val="1009"/>
        </w:numPr>
      </w:pPr>
      <w:r>
        <w:t xml:space="preserve">OCR full-text</w:t>
      </w:r>
    </w:p>
    <w:p>
      <w:pPr>
        <w:pStyle w:val="Compact"/>
        <w:numPr>
          <w:ilvl w:val="0"/>
          <w:numId w:val="1009"/>
        </w:numPr>
      </w:pPr>
      <w:r>
        <w:t xml:space="preserve">Generación de PDF/A</w:t>
      </w:r>
    </w:p>
    <w:p>
      <w:pPr>
        <w:pStyle w:val="Compact"/>
        <w:numPr>
          <w:ilvl w:val="0"/>
          <w:numId w:val="1009"/>
        </w:numPr>
      </w:pPr>
      <w:r>
        <w:t xml:space="preserve">Normalización de documentos</w:t>
      </w:r>
    </w:p>
    <w:bookmarkEnd w:id="32"/>
    <w:bookmarkStart w:id="33" w:name="firma-digital"/>
    <w:p>
      <w:pPr>
        <w:pStyle w:val="Heading3"/>
      </w:pPr>
      <w:r>
        <w:t xml:space="preserve">5.3 Firma Digital</w:t>
      </w:r>
    </w:p>
    <w:p>
      <w:pPr>
        <w:pStyle w:val="Compact"/>
        <w:numPr>
          <w:ilvl w:val="0"/>
          <w:numId w:val="1010"/>
        </w:numPr>
      </w:pPr>
      <w:r>
        <w:t xml:space="preserve">Integración con prestadores de firma digital (Ley 25.506)</w:t>
      </w:r>
    </w:p>
    <w:p>
      <w:pPr>
        <w:pStyle w:val="Compact"/>
        <w:numPr>
          <w:ilvl w:val="0"/>
          <w:numId w:val="1010"/>
        </w:numPr>
      </w:pPr>
      <w:r>
        <w:t xml:space="preserve">Firma electrónica avanzada</w:t>
      </w:r>
    </w:p>
    <w:p>
      <w:pPr>
        <w:pStyle w:val="Compact"/>
        <w:numPr>
          <w:ilvl w:val="0"/>
          <w:numId w:val="1010"/>
        </w:numPr>
      </w:pPr>
      <w:r>
        <w:t xml:space="preserve">Sellado de tiempo</w:t>
      </w:r>
    </w:p>
    <w:bookmarkEnd w:id="33"/>
    <w:bookmarkStart w:id="34" w:name="búsqueda"/>
    <w:p>
      <w:pPr>
        <w:pStyle w:val="Heading3"/>
      </w:pPr>
      <w:r>
        <w:t xml:space="preserve">5.4 Búsqueda</w:t>
      </w:r>
    </w:p>
    <w:p>
      <w:pPr>
        <w:pStyle w:val="Compact"/>
        <w:numPr>
          <w:ilvl w:val="0"/>
          <w:numId w:val="1011"/>
        </w:numPr>
      </w:pPr>
      <w:r>
        <w:t xml:space="preserve">Por metadatos</w:t>
      </w:r>
    </w:p>
    <w:p>
      <w:pPr>
        <w:pStyle w:val="Compact"/>
        <w:numPr>
          <w:ilvl w:val="0"/>
          <w:numId w:val="1011"/>
        </w:numPr>
      </w:pPr>
      <w:r>
        <w:t xml:space="preserve">Full-text OCR</w:t>
      </w:r>
    </w:p>
    <w:p>
      <w:pPr>
        <w:pStyle w:val="Compact"/>
        <w:numPr>
          <w:ilvl w:val="0"/>
          <w:numId w:val="1011"/>
        </w:numPr>
      </w:pPr>
      <w:r>
        <w:t xml:space="preserve">Filtros avanzados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eguridad-y-privacidad"/>
    <w:p>
      <w:pPr>
        <w:pStyle w:val="Heading2"/>
      </w:pPr>
      <w:r>
        <w:t xml:space="preserve">6. Seguridad y Privacidad</w:t>
      </w:r>
    </w:p>
    <w:p>
      <w:pPr>
        <w:pStyle w:val="Compact"/>
        <w:numPr>
          <w:ilvl w:val="0"/>
          <w:numId w:val="1012"/>
        </w:numPr>
      </w:pPr>
      <w:r>
        <w:t xml:space="preserve">Autenticación multifactor (opcional)</w:t>
      </w:r>
    </w:p>
    <w:p>
      <w:pPr>
        <w:pStyle w:val="Compact"/>
        <w:numPr>
          <w:ilvl w:val="0"/>
          <w:numId w:val="1012"/>
        </w:numPr>
      </w:pPr>
      <w:r>
        <w:t xml:space="preserve">Control de accesos por rol</w:t>
      </w:r>
    </w:p>
    <w:p>
      <w:pPr>
        <w:pStyle w:val="Compact"/>
        <w:numPr>
          <w:ilvl w:val="0"/>
          <w:numId w:val="1012"/>
        </w:numPr>
      </w:pPr>
      <w:r>
        <w:t xml:space="preserve">Cifrado AES-256 en reposo</w:t>
      </w:r>
    </w:p>
    <w:p>
      <w:pPr>
        <w:pStyle w:val="Compact"/>
        <w:numPr>
          <w:ilvl w:val="0"/>
          <w:numId w:val="1012"/>
        </w:numPr>
      </w:pPr>
      <w:r>
        <w:t xml:space="preserve">Hash SHA-256 por documento</w:t>
      </w:r>
    </w:p>
    <w:p>
      <w:pPr>
        <w:pStyle w:val="Compact"/>
        <w:numPr>
          <w:ilvl w:val="0"/>
          <w:numId w:val="1012"/>
        </w:numPr>
      </w:pPr>
      <w:r>
        <w:t xml:space="preserve">Logs inmutables</w:t>
      </w:r>
    </w:p>
    <w:p>
      <w:pPr>
        <w:pStyle w:val="Compact"/>
        <w:numPr>
          <w:ilvl w:val="0"/>
          <w:numId w:val="1012"/>
        </w:numPr>
      </w:pPr>
      <w:r>
        <w:t xml:space="preserve">Cumplimiento Ley 25.326</w:t>
      </w:r>
    </w:p>
    <w:p>
      <w:r>
        <w:pict>
          <v:rect style="width:0;height:1.5pt" o:hralign="center" o:hrstd="t" o:hr="t"/>
        </w:pict>
      </w:r>
    </w:p>
    <w:bookmarkEnd w:id="36"/>
    <w:bookmarkStart w:id="37" w:name="auditoría-y-trazabilidad"/>
    <w:p>
      <w:pPr>
        <w:pStyle w:val="Heading2"/>
      </w:pPr>
      <w:r>
        <w:t xml:space="preserve">7. Auditoría y Trazabilidad</w:t>
      </w:r>
    </w:p>
    <w:p>
      <w:pPr>
        <w:pStyle w:val="Compact"/>
        <w:numPr>
          <w:ilvl w:val="0"/>
          <w:numId w:val="1013"/>
        </w:numPr>
      </w:pPr>
      <w:r>
        <w:t xml:space="preserve">Registro completo de acciones de usuario</w:t>
      </w:r>
    </w:p>
    <w:p>
      <w:pPr>
        <w:pStyle w:val="Compact"/>
        <w:numPr>
          <w:ilvl w:val="0"/>
          <w:numId w:val="1013"/>
        </w:numPr>
      </w:pPr>
      <w:r>
        <w:t xml:space="preserve">Historial de versiones</w:t>
      </w:r>
    </w:p>
    <w:p>
      <w:pPr>
        <w:pStyle w:val="Compact"/>
        <w:numPr>
          <w:ilvl w:val="0"/>
          <w:numId w:val="1013"/>
        </w:numPr>
      </w:pPr>
      <w:r>
        <w:t xml:space="preserve">Exportación de auditorías</w:t>
      </w:r>
    </w:p>
    <w:p>
      <w:pPr>
        <w:pStyle w:val="Compact"/>
        <w:numPr>
          <w:ilvl w:val="0"/>
          <w:numId w:val="1013"/>
        </w:numPr>
      </w:pPr>
      <w:r>
        <w:t xml:space="preserve">Evidencia probatoria</w:t>
      </w:r>
    </w:p>
    <w:p>
      <w:r>
        <w:pict>
          <v:rect style="width:0;height:1.5pt" o:hralign="center" o:hrstd="t" o:hr="t"/>
        </w:pict>
      </w:r>
    </w:p>
    <w:bookmarkEnd w:id="37"/>
    <w:bookmarkStart w:id="38" w:name="disponibilidad-y-continuidad"/>
    <w:p>
      <w:pPr>
        <w:pStyle w:val="Heading2"/>
      </w:pPr>
      <w:r>
        <w:t xml:space="preserve">8. Disponibilidad y Continuidad</w:t>
      </w:r>
    </w:p>
    <w:p>
      <w:pPr>
        <w:pStyle w:val="Compact"/>
        <w:numPr>
          <w:ilvl w:val="0"/>
          <w:numId w:val="1014"/>
        </w:numPr>
      </w:pPr>
      <w:r>
        <w:t xml:space="preserve">SLA objetivo: 99,5% o superior</w:t>
      </w:r>
    </w:p>
    <w:p>
      <w:pPr>
        <w:pStyle w:val="Compact"/>
        <w:numPr>
          <w:ilvl w:val="0"/>
          <w:numId w:val="1014"/>
        </w:numPr>
      </w:pPr>
      <w:r>
        <w:t xml:space="preserve">Backups diarios y semanales</w:t>
      </w:r>
    </w:p>
    <w:p>
      <w:pPr>
        <w:pStyle w:val="Compact"/>
        <w:numPr>
          <w:ilvl w:val="0"/>
          <w:numId w:val="1014"/>
        </w:numPr>
      </w:pPr>
      <w:r>
        <w:t xml:space="preserve">DRP y BCP</w:t>
      </w:r>
    </w:p>
    <w:p>
      <w:pPr>
        <w:pStyle w:val="Compact"/>
        <w:numPr>
          <w:ilvl w:val="0"/>
          <w:numId w:val="1014"/>
        </w:numPr>
      </w:pPr>
      <w:r>
        <w:t xml:space="preserve">Monitoreo 24x7</w:t>
      </w:r>
    </w:p>
    <w:p>
      <w:r>
        <w:pict>
          <v:rect style="width:0;height:1.5pt" o:hralign="center" o:hrstd="t" o:hr="t"/>
        </w:pict>
      </w:r>
    </w:p>
    <w:bookmarkEnd w:id="38"/>
    <w:bookmarkStart w:id="39" w:name="entregables"/>
    <w:p>
      <w:pPr>
        <w:pStyle w:val="Heading2"/>
      </w:pPr>
      <w:r>
        <w:t xml:space="preserve">9. Entregables</w:t>
      </w:r>
    </w:p>
    <w:p>
      <w:pPr>
        <w:pStyle w:val="Compact"/>
        <w:numPr>
          <w:ilvl w:val="0"/>
          <w:numId w:val="1015"/>
        </w:numPr>
      </w:pPr>
      <w:r>
        <w:t xml:space="preserve">Plataforma SaaS operativa</w:t>
      </w:r>
    </w:p>
    <w:p>
      <w:pPr>
        <w:pStyle w:val="Compact"/>
        <w:numPr>
          <w:ilvl w:val="0"/>
          <w:numId w:val="1015"/>
        </w:numPr>
      </w:pPr>
      <w:r>
        <w:t xml:space="preserve">Documentación técnica</w:t>
      </w:r>
    </w:p>
    <w:p>
      <w:pPr>
        <w:pStyle w:val="Compact"/>
        <w:numPr>
          <w:ilvl w:val="0"/>
          <w:numId w:val="1015"/>
        </w:numPr>
      </w:pPr>
      <w:r>
        <w:t xml:space="preserve">Manual de usuario</w:t>
      </w:r>
    </w:p>
    <w:p>
      <w:pPr>
        <w:pStyle w:val="Compact"/>
        <w:numPr>
          <w:ilvl w:val="0"/>
          <w:numId w:val="1015"/>
        </w:numPr>
      </w:pPr>
      <w:r>
        <w:t xml:space="preserve">Manual de seguridad</w:t>
      </w:r>
    </w:p>
    <w:p>
      <w:pPr>
        <w:pStyle w:val="Compact"/>
        <w:numPr>
          <w:ilvl w:val="0"/>
          <w:numId w:val="1015"/>
        </w:numPr>
      </w:pPr>
      <w:r>
        <w:t xml:space="preserve">Capacitación inicial</w:t>
      </w:r>
    </w:p>
    <w:p>
      <w:pPr>
        <w:pStyle w:val="Compact"/>
        <w:numPr>
          <w:ilvl w:val="0"/>
          <w:numId w:val="1015"/>
        </w:numPr>
      </w:pPr>
      <w:r>
        <w:t xml:space="preserve">Matriz de cumplimiento normativo</w:t>
      </w:r>
    </w:p>
    <w:p>
      <w:r>
        <w:pict>
          <v:rect style="width:0;height:1.5pt" o:hralign="center" o:hrstd="t" o:hr="t"/>
        </w:pict>
      </w:r>
    </w:p>
    <w:bookmarkEnd w:id="39"/>
    <w:bookmarkStart w:id="46" w:name="X635b9d91267e1ebc41fda787066ef870ba130f7"/>
    <w:p>
      <w:pPr>
        <w:pStyle w:val="Heading2"/>
      </w:pPr>
      <w:r>
        <w:t xml:space="preserve">10. Esquema Económico – Modelo SaaS (Valores de Referencia 2025)</w:t>
      </w:r>
    </w:p>
    <w:bookmarkStart w:id="40" w:name="setup-inicial-por-organización"/>
    <w:p>
      <w:pPr>
        <w:pStyle w:val="Heading3"/>
      </w:pPr>
      <w:r>
        <w:t xml:space="preserve">10.1 Setup Inicial (por organización)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Monto 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 de tenant y configuración</w:t>
            </w:r>
          </w:p>
        </w:tc>
        <w:tc>
          <w:tcPr/>
          <w:p>
            <w:pPr>
              <w:pStyle w:val="Compact"/>
            </w:pPr>
            <w:r>
              <w:t xml:space="preserve">$450.000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Parametrización inicial</w:t>
            </w:r>
          </w:p>
        </w:tc>
        <w:tc>
          <w:tcPr/>
          <w:p>
            <w:pPr>
              <w:pStyle w:val="Compact"/>
            </w:pPr>
            <w:r>
              <w:t xml:space="preserve">$350.000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Capacitación inicial</w:t>
            </w:r>
          </w:p>
        </w:tc>
        <w:tc>
          <w:tcPr/>
          <w:p>
            <w:pPr>
              <w:pStyle w:val="Compact"/>
            </w:pPr>
            <w:r>
              <w:t xml:space="preserve">$300.000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Setup Inicial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$1.100.000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4" w:name="suscripción-mensual"/>
    <w:p>
      <w:pPr>
        <w:pStyle w:val="Heading3"/>
      </w:pPr>
      <w:r>
        <w:t xml:space="preserve">10.2 Suscripción Mensual</w:t>
      </w:r>
    </w:p>
    <w:bookmarkStart w:id="41" w:name="plan-básico"/>
    <w:p>
      <w:pPr>
        <w:pStyle w:val="Heading4"/>
      </w:pPr>
      <w:r>
        <w:t xml:space="preserve">Plan Básico</w:t>
      </w:r>
    </w:p>
    <w:p>
      <w:pPr>
        <w:pStyle w:val="Compact"/>
        <w:numPr>
          <w:ilvl w:val="0"/>
          <w:numId w:val="1016"/>
        </w:numPr>
      </w:pPr>
      <w:r>
        <w:t xml:space="preserve">Hasta 5 usuarios</w:t>
      </w:r>
    </w:p>
    <w:p>
      <w:pPr>
        <w:pStyle w:val="Compact"/>
        <w:numPr>
          <w:ilvl w:val="0"/>
          <w:numId w:val="1016"/>
        </w:numPr>
      </w:pPr>
      <w:r>
        <w:t xml:space="preserve">50 GB storage</w:t>
      </w:r>
    </w:p>
    <w:p>
      <w:pPr>
        <w:pStyle w:val="Compact"/>
        <w:numPr>
          <w:ilvl w:val="0"/>
          <w:numId w:val="1016"/>
        </w:numPr>
      </w:pPr>
      <w:r>
        <w:t xml:space="preserve">OCR incluido</w:t>
      </w:r>
    </w:p>
    <w:p>
      <w:pPr>
        <w:pStyle w:val="Compact"/>
        <w:numPr>
          <w:ilvl w:val="0"/>
          <w:numId w:val="1016"/>
        </w:numPr>
      </w:pPr>
      <w:r>
        <w:t xml:space="preserve">Soporte 8x5</w:t>
      </w:r>
    </w:p>
    <w:p>
      <w:pPr>
        <w:pStyle w:val="FirstParagraph"/>
      </w:pPr>
      <w:r>
        <w:rPr>
          <w:b/>
          <w:bCs/>
        </w:rPr>
        <w:t xml:space="preserve">$180.000 / mes</w:t>
      </w:r>
    </w:p>
    <w:bookmarkEnd w:id="41"/>
    <w:bookmarkStart w:id="42" w:name="plan-profesional"/>
    <w:p>
      <w:pPr>
        <w:pStyle w:val="Heading4"/>
      </w:pPr>
      <w:r>
        <w:t xml:space="preserve">Plan Profesional</w:t>
      </w:r>
    </w:p>
    <w:p>
      <w:pPr>
        <w:pStyle w:val="Compact"/>
        <w:numPr>
          <w:ilvl w:val="0"/>
          <w:numId w:val="1017"/>
        </w:numPr>
      </w:pPr>
      <w:r>
        <w:t xml:space="preserve">Hasta 15 usuarios</w:t>
      </w:r>
    </w:p>
    <w:p>
      <w:pPr>
        <w:pStyle w:val="Compact"/>
        <w:numPr>
          <w:ilvl w:val="0"/>
          <w:numId w:val="1017"/>
        </w:numPr>
      </w:pPr>
      <w:r>
        <w:t xml:space="preserve">200 GB storage</w:t>
      </w:r>
    </w:p>
    <w:p>
      <w:pPr>
        <w:pStyle w:val="Compact"/>
        <w:numPr>
          <w:ilvl w:val="0"/>
          <w:numId w:val="1017"/>
        </w:numPr>
      </w:pPr>
      <w:r>
        <w:t xml:space="preserve">Firma electrónica</w:t>
      </w:r>
    </w:p>
    <w:p>
      <w:pPr>
        <w:pStyle w:val="Compact"/>
        <w:numPr>
          <w:ilvl w:val="0"/>
          <w:numId w:val="1017"/>
        </w:numPr>
      </w:pPr>
      <w:r>
        <w:t xml:space="preserve">Soporte prioritario</w:t>
      </w:r>
    </w:p>
    <w:p>
      <w:pPr>
        <w:pStyle w:val="FirstParagraph"/>
      </w:pPr>
      <w:r>
        <w:rPr>
          <w:b/>
          <w:bCs/>
        </w:rPr>
        <w:t xml:space="preserve">$380.000 / mes</w:t>
      </w:r>
    </w:p>
    <w:bookmarkEnd w:id="42"/>
    <w:bookmarkStart w:id="43" w:name="plan-enterprise"/>
    <w:p>
      <w:pPr>
        <w:pStyle w:val="Heading4"/>
      </w:pPr>
      <w:r>
        <w:t xml:space="preserve">Plan Enterprise</w:t>
      </w:r>
    </w:p>
    <w:p>
      <w:pPr>
        <w:pStyle w:val="Compact"/>
        <w:numPr>
          <w:ilvl w:val="0"/>
          <w:numId w:val="1018"/>
        </w:numPr>
      </w:pPr>
      <w:r>
        <w:t xml:space="preserve">Usuarios ilimitados</w:t>
      </w:r>
    </w:p>
    <w:p>
      <w:pPr>
        <w:pStyle w:val="Compact"/>
        <w:numPr>
          <w:ilvl w:val="0"/>
          <w:numId w:val="1018"/>
        </w:numPr>
      </w:pPr>
      <w:r>
        <w:t xml:space="preserve">Storage escalable</w:t>
      </w:r>
    </w:p>
    <w:p>
      <w:pPr>
        <w:pStyle w:val="Compact"/>
        <w:numPr>
          <w:ilvl w:val="0"/>
          <w:numId w:val="1018"/>
        </w:numPr>
      </w:pPr>
      <w:r>
        <w:t xml:space="preserve">Firma digital certificada</w:t>
      </w:r>
    </w:p>
    <w:p>
      <w:pPr>
        <w:pStyle w:val="Compact"/>
        <w:numPr>
          <w:ilvl w:val="0"/>
          <w:numId w:val="1018"/>
        </w:numPr>
      </w:pPr>
      <w:r>
        <w:t xml:space="preserve">APIs</w:t>
      </w:r>
    </w:p>
    <w:p>
      <w:pPr>
        <w:pStyle w:val="Compact"/>
        <w:numPr>
          <w:ilvl w:val="0"/>
          <w:numId w:val="1018"/>
        </w:numPr>
      </w:pPr>
      <w:r>
        <w:t xml:space="preserve">SLA 99,9%</w:t>
      </w:r>
    </w:p>
    <w:p>
      <w:pPr>
        <w:pStyle w:val="FirstParagraph"/>
      </w:pPr>
      <w:r>
        <w:rPr>
          <w:b/>
          <w:bCs/>
        </w:rPr>
        <w:t xml:space="preserve">$750.000 / mes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ervicios-adicionales"/>
    <w:p>
      <w:pPr>
        <w:pStyle w:val="Heading3"/>
      </w:pPr>
      <w:r>
        <w:t xml:space="preserve">10.3 Servicios Adicionales</w:t>
      </w:r>
    </w:p>
    <w:p>
      <w:pPr>
        <w:pStyle w:val="Compact"/>
        <w:numPr>
          <w:ilvl w:val="0"/>
          <w:numId w:val="1019"/>
        </w:numPr>
      </w:pPr>
      <w:r>
        <w:t xml:space="preserve">Usuario adicional: $18.000 / mes</w:t>
      </w:r>
    </w:p>
    <w:p>
      <w:pPr>
        <w:pStyle w:val="Compact"/>
        <w:numPr>
          <w:ilvl w:val="0"/>
          <w:numId w:val="1019"/>
        </w:numPr>
      </w:pPr>
      <w:r>
        <w:t xml:space="preserve">Storage adicional (50 GB): $35.000 / mes</w:t>
      </w:r>
    </w:p>
    <w:p>
      <w:pPr>
        <w:pStyle w:val="Compact"/>
        <w:numPr>
          <w:ilvl w:val="0"/>
          <w:numId w:val="1019"/>
        </w:numPr>
      </w:pPr>
      <w:r>
        <w:t xml:space="preserve">Integraciones específicas: a cotizar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ondiciones-comerciales"/>
    <w:p>
      <w:pPr>
        <w:pStyle w:val="Heading2"/>
      </w:pPr>
      <w:r>
        <w:t xml:space="preserve">11. Condiciones Comerciales</w:t>
      </w:r>
    </w:p>
    <w:p>
      <w:pPr>
        <w:pStyle w:val="Compact"/>
        <w:numPr>
          <w:ilvl w:val="0"/>
          <w:numId w:val="1020"/>
        </w:numPr>
      </w:pPr>
      <w:r>
        <w:t xml:space="preserve">Valores expresados en ARS + IVA</w:t>
      </w:r>
    </w:p>
    <w:p>
      <w:pPr>
        <w:pStyle w:val="Compact"/>
        <w:numPr>
          <w:ilvl w:val="0"/>
          <w:numId w:val="1020"/>
        </w:numPr>
      </w:pPr>
      <w:r>
        <w:t xml:space="preserve">Ajuste trimestral por índice IPC</w:t>
      </w:r>
    </w:p>
    <w:p>
      <w:pPr>
        <w:pStyle w:val="Compact"/>
        <w:numPr>
          <w:ilvl w:val="0"/>
          <w:numId w:val="1020"/>
        </w:numPr>
      </w:pPr>
      <w:r>
        <w:t xml:space="preserve">Contrato mínimo: 12 meses</w:t>
      </w:r>
    </w:p>
    <w:p>
      <w:pPr>
        <w:pStyle w:val="Compact"/>
        <w:numPr>
          <w:ilvl w:val="0"/>
          <w:numId w:val="1020"/>
        </w:numPr>
      </w:pPr>
      <w:r>
        <w:t xml:space="preserve">Confidencialidad y protección de datos garantizada</w:t>
      </w:r>
    </w:p>
    <w:p>
      <w:r>
        <w:pict>
          <v:rect style="width:0;height:1.5pt" o:hralign="center" o:hrstd="t" o:hr="t"/>
        </w:pict>
      </w:r>
    </w:p>
    <w:bookmarkEnd w:id="47"/>
    <w:bookmarkStart w:id="48" w:name="observaciones-finales"/>
    <w:p>
      <w:pPr>
        <w:pStyle w:val="Heading2"/>
      </w:pPr>
      <w:r>
        <w:t xml:space="preserve">12. Observaciones Finales</w:t>
      </w:r>
    </w:p>
    <w:p>
      <w:pPr>
        <w:pStyle w:val="FirstParagraph"/>
      </w:pPr>
      <w:r>
        <w:t xml:space="preserve">La plataforma propuesta permite a organizaciones profesionales</w:t>
      </w:r>
      <w:r>
        <w:t xml:space="preserve"> </w:t>
      </w:r>
      <w:r>
        <w:rPr>
          <w:b/>
          <w:bCs/>
        </w:rPr>
        <w:t xml:space="preserve">reducir riesgos legales, optimizar la gestión documental y asegurar validez probatoria</w:t>
      </w:r>
      <w:r>
        <w:t xml:space="preserve">, con un esquema SaaS flexible y escalable.</w:t>
      </w:r>
    </w:p>
    <w:p>
      <w:r>
        <w:pict>
          <v:rect style="width:0;height:1.5pt" o:hralign="center" o:hrstd="t" o:hr="t"/>
        </w:pic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2026-01-07T21:01:32Z</dcterms:created>
  <dcterms:modified xsi:type="dcterms:W3CDTF">2026-01-07T21:01:32Z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