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liego-técnico"/>
    <w:p>
      <w:pPr>
        <w:pStyle w:val="Heading1"/>
      </w:pPr>
      <w:r>
        <w:t xml:space="preserve">PLIEGO TÉCNICO</w:t>
      </w:r>
    </w:p>
    <w:bookmarkStart w:id="20" w:name="X5e2545b0900e0f1435bb478df68ad78df5b73f5"/>
    <w:p>
      <w:pPr>
        <w:pStyle w:val="Heading2"/>
      </w:pPr>
      <w:r>
        <w:t xml:space="preserve">Sistema de Gestión Documental Hospitalario (SGDH)</w:t>
      </w:r>
    </w:p>
    <w:p>
      <w:r>
        <w:pict>
          <v:rect style="width:0;height:1.5pt" o:hralign="center" o:hrstd="t" o:hr="t"/>
        </w:pict>
      </w:r>
    </w:p>
    <w:bookmarkEnd w:id="20"/>
    <w:bookmarkStart w:id="21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pliego tiene por objeto la</w:t>
      </w:r>
      <w:r>
        <w:t xml:space="preserve"> </w:t>
      </w:r>
      <w:r>
        <w:rPr>
          <w:b/>
          <w:bCs/>
        </w:rPr>
        <w:t xml:space="preserve">contratación del relevamiento, análisis, diseño, desarrollo, implementación, puesta en marcha y mantenimiento</w:t>
      </w:r>
      <w:r>
        <w:t xml:space="preserve"> </w:t>
      </w:r>
      <w:r>
        <w:t xml:space="preserve">de un</w:t>
      </w:r>
      <w:r>
        <w:t xml:space="preserve"> </w:t>
      </w:r>
      <w:r>
        <w:rPr>
          <w:b/>
          <w:bCs/>
        </w:rPr>
        <w:t xml:space="preserve">Sistema de Gestión Documental Hospitalario (SGDH)</w:t>
      </w:r>
      <w:r>
        <w:t xml:space="preserve">, conforme a normas internacionales ISO aplicables a la gestión documental y a la legislación vigente de la República Argentina en materia de salud, protección de datos personales y validez legal de documentos digitales.</w:t>
      </w:r>
    </w:p>
    <w:p>
      <w:pPr>
        <w:pStyle w:val="BodyText"/>
      </w:pPr>
      <w:r>
        <w:t xml:space="preserve">El sistema deberá garantizar la</w:t>
      </w:r>
      <w:r>
        <w:t xml:space="preserve"> </w:t>
      </w:r>
      <w:r>
        <w:rPr>
          <w:b/>
          <w:bCs/>
        </w:rPr>
        <w:t xml:space="preserve">autenticidad, integridad, confidencialidad, disponibilidad, trazabilidad y conservación legal</w:t>
      </w:r>
      <w:r>
        <w:t xml:space="preserve"> </w:t>
      </w:r>
      <w:r>
        <w:t xml:space="preserve">de la documentación clínica y administrativa del Hospital.</w:t>
      </w:r>
    </w:p>
    <w:p>
      <w:r>
        <w:pict>
          <v:rect style="width:0;height:1.5pt" o:hralign="center" o:hrstd="t" o:hr="t"/>
        </w:pict>
      </w:r>
    </w:p>
    <w:bookmarkEnd w:id="21"/>
    <w:bookmarkStart w:id="24" w:name="marco-normativo-y-legal"/>
    <w:p>
      <w:pPr>
        <w:pStyle w:val="Heading2"/>
      </w:pPr>
      <w:r>
        <w:t xml:space="preserve">2. Marco Normativo y Legal</w:t>
      </w:r>
    </w:p>
    <w:bookmarkStart w:id="22" w:name="normas-iso"/>
    <w:p>
      <w:pPr>
        <w:pStyle w:val="Heading3"/>
      </w:pPr>
      <w:r>
        <w:t xml:space="preserve">2.1 Normas ISO</w:t>
      </w:r>
    </w:p>
    <w:p>
      <w:pPr>
        <w:pStyle w:val="FirstParagraph"/>
      </w:pPr>
      <w:r>
        <w:t xml:space="preserve">El sistema deberá alinearse y permitir cumplimiento con las siguientes normas:</w:t>
      </w:r>
    </w:p>
    <w:p>
      <w:pPr>
        <w:pStyle w:val="Compact"/>
        <w:numPr>
          <w:ilvl w:val="0"/>
          <w:numId w:val="1001"/>
        </w:numPr>
      </w:pPr>
      <w:r>
        <w:t xml:space="preserve">ISO 15489-1 / 15489-2 – Gestión de documentos</w:t>
      </w:r>
    </w:p>
    <w:p>
      <w:pPr>
        <w:pStyle w:val="Compact"/>
        <w:numPr>
          <w:ilvl w:val="0"/>
          <w:numId w:val="1001"/>
        </w:numPr>
      </w:pPr>
      <w:r>
        <w:t xml:space="preserve">ISO 30301 – Sistemas de gestión para documentos</w:t>
      </w:r>
    </w:p>
    <w:p>
      <w:pPr>
        <w:pStyle w:val="Compact"/>
        <w:numPr>
          <w:ilvl w:val="0"/>
          <w:numId w:val="1001"/>
        </w:numPr>
      </w:pPr>
      <w:r>
        <w:t xml:space="preserve">ISO 16175 – Requisitos funcionales para sistemas de gestión documental</w:t>
      </w:r>
    </w:p>
    <w:p>
      <w:pPr>
        <w:pStyle w:val="Compact"/>
        <w:numPr>
          <w:ilvl w:val="0"/>
          <w:numId w:val="1001"/>
        </w:numPr>
      </w:pPr>
      <w:r>
        <w:t xml:space="preserve">ISO/TR 13028 – Digitalización confiable de documentos</w:t>
      </w:r>
    </w:p>
    <w:p>
      <w:pPr>
        <w:pStyle w:val="Compact"/>
        <w:numPr>
          <w:ilvl w:val="0"/>
          <w:numId w:val="1001"/>
        </w:numPr>
      </w:pPr>
      <w:r>
        <w:t xml:space="preserve">ISO 19005 (PDF/A-2 o superior) – Preservación digital</w:t>
      </w:r>
    </w:p>
    <w:p>
      <w:pPr>
        <w:pStyle w:val="Compact"/>
        <w:numPr>
          <w:ilvl w:val="0"/>
          <w:numId w:val="1001"/>
        </w:numPr>
      </w:pPr>
      <w:r>
        <w:t xml:space="preserve">ISO/IEC 27001 – Seguridad de la información</w:t>
      </w:r>
    </w:p>
    <w:p>
      <w:pPr>
        <w:pStyle w:val="Compact"/>
        <w:numPr>
          <w:ilvl w:val="0"/>
          <w:numId w:val="1001"/>
        </w:numPr>
      </w:pPr>
      <w:r>
        <w:t xml:space="preserve">ISO/IEC 27002 – Controles de seguridad</w:t>
      </w:r>
    </w:p>
    <w:p>
      <w:pPr>
        <w:pStyle w:val="Compact"/>
        <w:numPr>
          <w:ilvl w:val="0"/>
          <w:numId w:val="1001"/>
        </w:numPr>
      </w:pPr>
      <w:r>
        <w:t xml:space="preserve">ISO/IEC 27701 – Gestión de información personal</w:t>
      </w:r>
    </w:p>
    <w:p>
      <w:pPr>
        <w:pStyle w:val="Compact"/>
        <w:numPr>
          <w:ilvl w:val="0"/>
          <w:numId w:val="1001"/>
        </w:numPr>
      </w:pPr>
      <w:r>
        <w:t xml:space="preserve">ISO 22301 (recomendado) – Continuidad del negocio</w:t>
      </w:r>
    </w:p>
    <w:bookmarkEnd w:id="22"/>
    <w:bookmarkStart w:id="23" w:name="legislación-argentina"/>
    <w:p>
      <w:pPr>
        <w:pStyle w:val="Heading3"/>
      </w:pPr>
      <w:r>
        <w:t xml:space="preserve">2.2 Legislación Argentina</w:t>
      </w:r>
    </w:p>
    <w:p>
      <w:pPr>
        <w:pStyle w:val="Compact"/>
        <w:numPr>
          <w:ilvl w:val="0"/>
          <w:numId w:val="1002"/>
        </w:numPr>
      </w:pPr>
      <w:r>
        <w:t xml:space="preserve">Ley 25.326 – Protección de Datos Personales</w:t>
      </w:r>
    </w:p>
    <w:p>
      <w:pPr>
        <w:pStyle w:val="Compact"/>
        <w:numPr>
          <w:ilvl w:val="0"/>
          <w:numId w:val="1002"/>
        </w:numPr>
      </w:pPr>
      <w:r>
        <w:t xml:space="preserve">Decreto 1558/2001</w:t>
      </w:r>
    </w:p>
    <w:p>
      <w:pPr>
        <w:pStyle w:val="Compact"/>
        <w:numPr>
          <w:ilvl w:val="0"/>
          <w:numId w:val="1002"/>
        </w:numPr>
      </w:pPr>
      <w:r>
        <w:t xml:space="preserve">Ley 26.529 – Derechos del Paciente</w:t>
      </w:r>
    </w:p>
    <w:p>
      <w:pPr>
        <w:pStyle w:val="Compact"/>
        <w:numPr>
          <w:ilvl w:val="0"/>
          <w:numId w:val="1002"/>
        </w:numPr>
      </w:pPr>
      <w:r>
        <w:t xml:space="preserve">Ley 27.553 – Recetas electrónicas y documentos digitales en salud</w:t>
      </w:r>
    </w:p>
    <w:p>
      <w:pPr>
        <w:pStyle w:val="Compact"/>
        <w:numPr>
          <w:ilvl w:val="0"/>
          <w:numId w:val="1002"/>
        </w:numPr>
      </w:pPr>
      <w:r>
        <w:t xml:space="preserve">Ley 27.706 – Historia Clínica Digital interoperable</w:t>
      </w:r>
    </w:p>
    <w:p>
      <w:pPr>
        <w:pStyle w:val="Compact"/>
        <w:numPr>
          <w:ilvl w:val="0"/>
          <w:numId w:val="1002"/>
        </w:numPr>
      </w:pPr>
      <w:r>
        <w:t xml:space="preserve">Ley 25.506 – Firma Digital</w:t>
      </w:r>
    </w:p>
    <w:p>
      <w:pPr>
        <w:pStyle w:val="Compact"/>
        <w:numPr>
          <w:ilvl w:val="0"/>
          <w:numId w:val="1002"/>
        </w:numPr>
      </w:pPr>
      <w:r>
        <w:t xml:space="preserve">Código Civil y Comercial de la Nación</w:t>
      </w:r>
    </w:p>
    <w:p>
      <w:pPr>
        <w:pStyle w:val="Compact"/>
        <w:numPr>
          <w:ilvl w:val="0"/>
          <w:numId w:val="1002"/>
        </w:numPr>
      </w:pPr>
      <w:r>
        <w:t xml:space="preserve">Normativa y resoluciones del Ministerio de Salud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lcance-del-sistema"/>
    <w:p>
      <w:pPr>
        <w:pStyle w:val="Heading2"/>
      </w:pPr>
      <w:r>
        <w:t xml:space="preserve">3. Alcance del Sistema</w:t>
      </w:r>
    </w:p>
    <w:p>
      <w:pPr>
        <w:pStyle w:val="FirstParagraph"/>
      </w:pPr>
      <w:r>
        <w:t xml:space="preserve">El SGDH estará compuesto por los siguientes módulos:</w:t>
      </w:r>
    </w:p>
    <w:p>
      <w:pPr>
        <w:pStyle w:val="Compact"/>
        <w:numPr>
          <w:ilvl w:val="0"/>
          <w:numId w:val="1003"/>
        </w:numPr>
      </w:pPr>
      <w:r>
        <w:t xml:space="preserve">Módulo de Digitalización y Captura Documental</w:t>
      </w:r>
    </w:p>
    <w:p>
      <w:pPr>
        <w:pStyle w:val="Compact"/>
        <w:numPr>
          <w:ilvl w:val="0"/>
          <w:numId w:val="1003"/>
        </w:numPr>
      </w:pPr>
      <w:r>
        <w:t xml:space="preserve">Módulo Web de Gestión Documental</w:t>
      </w:r>
    </w:p>
    <w:p>
      <w:pPr>
        <w:pStyle w:val="Compact"/>
        <w:numPr>
          <w:ilvl w:val="0"/>
          <w:numId w:val="1003"/>
        </w:numPr>
      </w:pPr>
      <w:r>
        <w:t xml:space="preserve">Módulo de Búsqueda y Recuperación</w:t>
      </w:r>
    </w:p>
    <w:p>
      <w:pPr>
        <w:pStyle w:val="Compact"/>
        <w:numPr>
          <w:ilvl w:val="0"/>
          <w:numId w:val="1003"/>
        </w:numPr>
      </w:pPr>
      <w:r>
        <w:t xml:space="preserve">Módulo de Seguridad y Control de Accesos</w:t>
      </w:r>
    </w:p>
    <w:p>
      <w:pPr>
        <w:pStyle w:val="Compact"/>
        <w:numPr>
          <w:ilvl w:val="0"/>
          <w:numId w:val="1003"/>
        </w:numPr>
      </w:pPr>
      <w:r>
        <w:t xml:space="preserve">Módulo de Auditoría y Trazabilidad</w:t>
      </w:r>
    </w:p>
    <w:p>
      <w:pPr>
        <w:pStyle w:val="Compact"/>
        <w:numPr>
          <w:ilvl w:val="0"/>
          <w:numId w:val="1003"/>
        </w:numPr>
      </w:pPr>
      <w:r>
        <w:t xml:space="preserve">Repositorio Documental Seguro</w:t>
      </w:r>
    </w:p>
    <w:p>
      <w:pPr>
        <w:pStyle w:val="Compact"/>
        <w:numPr>
          <w:ilvl w:val="0"/>
          <w:numId w:val="1003"/>
        </w:numPr>
      </w:pPr>
      <w:r>
        <w:t xml:space="preserve">Servicios de Integración (API)</w:t>
      </w:r>
    </w:p>
    <w:p>
      <w:r>
        <w:pict>
          <v:rect style="width:0;height:1.5pt" o:hralign="center" o:hrstd="t" o:hr="t"/>
        </w:pict>
      </w:r>
    </w:p>
    <w:bookmarkEnd w:id="25"/>
    <w:bookmarkStart w:id="30" w:name="arquitectura-tecnológica"/>
    <w:p>
      <w:pPr>
        <w:pStyle w:val="Heading2"/>
      </w:pPr>
      <w:r>
        <w:t xml:space="preserve">4. Arquitectura Tecnológica</w:t>
      </w:r>
    </w:p>
    <w:bookmarkStart w:id="26" w:name="backend"/>
    <w:p>
      <w:pPr>
        <w:pStyle w:val="Heading3"/>
      </w:pPr>
      <w:r>
        <w:t xml:space="preserve">4.1 Backend</w:t>
      </w:r>
    </w:p>
    <w:p>
      <w:pPr>
        <w:pStyle w:val="Compact"/>
        <w:numPr>
          <w:ilvl w:val="0"/>
          <w:numId w:val="1004"/>
        </w:numPr>
      </w:pPr>
      <w:r>
        <w:t xml:space="preserve">Plataforma:</w:t>
      </w:r>
      <w:r>
        <w:t xml:space="preserve"> </w:t>
      </w:r>
      <w:r>
        <w:rPr>
          <w:b/>
          <w:bCs/>
        </w:rPr>
        <w:t xml:space="preserve">.NET 8 – ASP.NET Core</w:t>
      </w:r>
    </w:p>
    <w:p>
      <w:pPr>
        <w:pStyle w:val="Compact"/>
        <w:numPr>
          <w:ilvl w:val="0"/>
          <w:numId w:val="1004"/>
        </w:numPr>
      </w:pPr>
      <w:r>
        <w:t xml:space="preserve">Arquitectura: Clean Architecture / DDD</w:t>
      </w:r>
    </w:p>
    <w:p>
      <w:pPr>
        <w:pStyle w:val="Compact"/>
        <w:numPr>
          <w:ilvl w:val="0"/>
          <w:numId w:val="1004"/>
        </w:numPr>
      </w:pPr>
      <w:r>
        <w:t xml:space="preserve">API RESTful segura</w:t>
      </w:r>
    </w:p>
    <w:p>
      <w:pPr>
        <w:pStyle w:val="Compact"/>
        <w:numPr>
          <w:ilvl w:val="0"/>
          <w:numId w:val="1004"/>
        </w:numPr>
      </w:pPr>
      <w:r>
        <w:t xml:space="preserve">Autenticación: OAuth2 / OpenID Connect</w:t>
      </w:r>
    </w:p>
    <w:p>
      <w:pPr>
        <w:pStyle w:val="Compact"/>
        <w:numPr>
          <w:ilvl w:val="0"/>
          <w:numId w:val="1004"/>
        </w:numPr>
      </w:pPr>
      <w:r>
        <w:t xml:space="preserve">Autorización: RBAC + ABAC</w:t>
      </w:r>
    </w:p>
    <w:p>
      <w:pPr>
        <w:pStyle w:val="Compact"/>
        <w:numPr>
          <w:ilvl w:val="0"/>
          <w:numId w:val="1004"/>
        </w:numPr>
      </w:pPr>
      <w:r>
        <w:t xml:space="preserve">Firma digital integrada (Ley 25.506)</w:t>
      </w:r>
    </w:p>
    <w:bookmarkEnd w:id="26"/>
    <w:bookmarkStart w:id="27" w:name="base-de-datos"/>
    <w:p>
      <w:pPr>
        <w:pStyle w:val="Heading3"/>
      </w:pPr>
      <w:r>
        <w:t xml:space="preserve">4.2 Base de Datos</w:t>
      </w:r>
    </w:p>
    <w:p>
      <w:pPr>
        <w:pStyle w:val="Compact"/>
        <w:numPr>
          <w:ilvl w:val="0"/>
          <w:numId w:val="1005"/>
        </w:numPr>
      </w:pPr>
      <w:r>
        <w:t xml:space="preserve">Motor:</w:t>
      </w:r>
      <w:r>
        <w:t xml:space="preserve"> </w:t>
      </w:r>
      <w:r>
        <w:rPr>
          <w:b/>
          <w:bCs/>
        </w:rPr>
        <w:t xml:space="preserve">PostgreSQL 15 o superior</w:t>
      </w:r>
    </w:p>
    <w:p>
      <w:pPr>
        <w:pStyle w:val="Compact"/>
        <w:numPr>
          <w:ilvl w:val="0"/>
          <w:numId w:val="1005"/>
        </w:numPr>
      </w:pPr>
      <w:r>
        <w:t xml:space="preserve">Cifrado de datos sensibles</w:t>
      </w:r>
    </w:p>
    <w:p>
      <w:pPr>
        <w:pStyle w:val="Compact"/>
        <w:numPr>
          <w:ilvl w:val="0"/>
          <w:numId w:val="1005"/>
        </w:numPr>
      </w:pPr>
      <w:r>
        <w:t xml:space="preserve">Control de integridad referencial</w:t>
      </w:r>
    </w:p>
    <w:p>
      <w:pPr>
        <w:pStyle w:val="Compact"/>
        <w:numPr>
          <w:ilvl w:val="0"/>
          <w:numId w:val="1005"/>
        </w:numPr>
      </w:pPr>
      <w:r>
        <w:t xml:space="preserve">Auditoría lógica y técnica</w:t>
      </w:r>
    </w:p>
    <w:p>
      <w:pPr>
        <w:pStyle w:val="Compact"/>
        <w:numPr>
          <w:ilvl w:val="0"/>
          <w:numId w:val="1005"/>
        </w:numPr>
      </w:pPr>
      <w:r>
        <w:t xml:space="preserve">Backups automáticos y versionados</w:t>
      </w:r>
    </w:p>
    <w:bookmarkEnd w:id="27"/>
    <w:bookmarkStart w:id="28" w:name="frontend-web"/>
    <w:p>
      <w:pPr>
        <w:pStyle w:val="Heading3"/>
      </w:pPr>
      <w:r>
        <w:t xml:space="preserve">4.3 Frontend Web</w:t>
      </w:r>
    </w:p>
    <w:p>
      <w:pPr>
        <w:pStyle w:val="Compact"/>
        <w:numPr>
          <w:ilvl w:val="0"/>
          <w:numId w:val="1006"/>
        </w:numPr>
      </w:pPr>
      <w:r>
        <w:t xml:space="preserve">Tecnología:</w:t>
      </w:r>
      <w:r>
        <w:t xml:space="preserve"> </w:t>
      </w:r>
      <w:r>
        <w:rPr>
          <w:b/>
          <w:bCs/>
        </w:rPr>
        <w:t xml:space="preserve">Blazor Web (Server o WASM según definición técnica)</w:t>
      </w:r>
    </w:p>
    <w:p>
      <w:pPr>
        <w:pStyle w:val="Compact"/>
        <w:numPr>
          <w:ilvl w:val="0"/>
          <w:numId w:val="1006"/>
        </w:numPr>
      </w:pPr>
      <w:r>
        <w:t xml:space="preserve">Acceso vía HTTPS (TLS 1.2 o superior)</w:t>
      </w:r>
    </w:p>
    <w:p>
      <w:pPr>
        <w:pStyle w:val="Compact"/>
        <w:numPr>
          <w:ilvl w:val="0"/>
          <w:numId w:val="1006"/>
        </w:numPr>
      </w:pPr>
      <w:r>
        <w:t xml:space="preserve">Interfaz responsive</w:t>
      </w:r>
    </w:p>
    <w:p>
      <w:pPr>
        <w:pStyle w:val="Compact"/>
        <w:numPr>
          <w:ilvl w:val="0"/>
          <w:numId w:val="1006"/>
        </w:numPr>
      </w:pPr>
      <w:r>
        <w:t xml:space="preserve">Gestión por perfiles y sectores</w:t>
      </w:r>
    </w:p>
    <w:bookmarkEnd w:id="28"/>
    <w:bookmarkStart w:id="29" w:name="módulo-de-digitalización"/>
    <w:p>
      <w:pPr>
        <w:pStyle w:val="Heading3"/>
      </w:pPr>
      <w:r>
        <w:t xml:space="preserve">4.4 Módulo de Digitalización</w:t>
      </w:r>
    </w:p>
    <w:p>
      <w:pPr>
        <w:pStyle w:val="Compact"/>
        <w:numPr>
          <w:ilvl w:val="0"/>
          <w:numId w:val="1007"/>
        </w:numPr>
      </w:pPr>
      <w:r>
        <w:t xml:space="preserve">Servicio de captura desacoplado</w:t>
      </w:r>
    </w:p>
    <w:p>
      <w:pPr>
        <w:pStyle w:val="Compact"/>
        <w:numPr>
          <w:ilvl w:val="0"/>
          <w:numId w:val="1007"/>
        </w:numPr>
      </w:pPr>
      <w:r>
        <w:t xml:space="preserve">Compatibilidad TWAIN 2.4+</w:t>
      </w:r>
    </w:p>
    <w:p>
      <w:pPr>
        <w:pStyle w:val="Compact"/>
        <w:numPr>
          <w:ilvl w:val="0"/>
          <w:numId w:val="1007"/>
        </w:numPr>
      </w:pPr>
      <w:r>
        <w:t xml:space="preserve">Digitalización por lotes</w:t>
      </w:r>
    </w:p>
    <w:p>
      <w:pPr>
        <w:pStyle w:val="Compact"/>
        <w:numPr>
          <w:ilvl w:val="0"/>
          <w:numId w:val="1007"/>
        </w:numPr>
      </w:pPr>
      <w:r>
        <w:t xml:space="preserve">OCR estructurado y full-text</w:t>
      </w:r>
    </w:p>
    <w:p>
      <w:pPr>
        <w:pStyle w:val="Compact"/>
        <w:numPr>
          <w:ilvl w:val="0"/>
          <w:numId w:val="1007"/>
        </w:numPr>
      </w:pPr>
      <w:r>
        <w:t xml:space="preserve">Generación de PDF/A</w:t>
      </w:r>
    </w:p>
    <w:p>
      <w:pPr>
        <w:pStyle w:val="Compact"/>
        <w:numPr>
          <w:ilvl w:val="0"/>
          <w:numId w:val="1007"/>
        </w:numPr>
      </w:pPr>
      <w:r>
        <w:t xml:space="preserve">Control de calidad documental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uncionalidades-obligatorias"/>
    <w:p>
      <w:pPr>
        <w:pStyle w:val="Heading2"/>
      </w:pPr>
      <w:r>
        <w:t xml:space="preserve">5. Funcionalidades Obligatorias</w:t>
      </w:r>
    </w:p>
    <w:bookmarkStart w:id="31" w:name="gestión-documental"/>
    <w:p>
      <w:pPr>
        <w:pStyle w:val="Heading3"/>
      </w:pPr>
      <w:r>
        <w:t xml:space="preserve">5.1 Gestión Documental</w:t>
      </w:r>
    </w:p>
    <w:p>
      <w:pPr>
        <w:pStyle w:val="Compact"/>
        <w:numPr>
          <w:ilvl w:val="0"/>
          <w:numId w:val="1008"/>
        </w:numPr>
      </w:pPr>
      <w:r>
        <w:t xml:space="preserve">Alta, edición y versionado de documentos</w:t>
      </w:r>
    </w:p>
    <w:p>
      <w:pPr>
        <w:pStyle w:val="Compact"/>
        <w:numPr>
          <w:ilvl w:val="0"/>
          <w:numId w:val="1008"/>
        </w:numPr>
      </w:pPr>
      <w:r>
        <w:t xml:space="preserve">Documentos simples y compuestos</w:t>
      </w:r>
    </w:p>
    <w:p>
      <w:pPr>
        <w:pStyle w:val="Compact"/>
        <w:numPr>
          <w:ilvl w:val="0"/>
          <w:numId w:val="1008"/>
        </w:numPr>
      </w:pPr>
      <w:r>
        <w:t xml:space="preserve">Estados documentales</w:t>
      </w:r>
    </w:p>
    <w:p>
      <w:pPr>
        <w:pStyle w:val="Compact"/>
        <w:numPr>
          <w:ilvl w:val="0"/>
          <w:numId w:val="1008"/>
        </w:numPr>
      </w:pPr>
      <w:r>
        <w:t xml:space="preserve">Políticas de retención y expurgo</w:t>
      </w:r>
    </w:p>
    <w:p>
      <w:pPr>
        <w:pStyle w:val="Compact"/>
        <w:numPr>
          <w:ilvl w:val="0"/>
          <w:numId w:val="1008"/>
        </w:numPr>
      </w:pPr>
      <w:r>
        <w:t xml:space="preserve">Metadatos obligatorios configurables</w:t>
      </w:r>
    </w:p>
    <w:bookmarkEnd w:id="31"/>
    <w:bookmarkStart w:id="32" w:name="búsqueda"/>
    <w:p>
      <w:pPr>
        <w:pStyle w:val="Heading3"/>
      </w:pPr>
      <w:r>
        <w:t xml:space="preserve">5.2 Búsqueda</w:t>
      </w:r>
    </w:p>
    <w:p>
      <w:pPr>
        <w:pStyle w:val="Compact"/>
        <w:numPr>
          <w:ilvl w:val="0"/>
          <w:numId w:val="1009"/>
        </w:numPr>
      </w:pPr>
      <w:r>
        <w:t xml:space="preserve">Por metadatos</w:t>
      </w:r>
    </w:p>
    <w:p>
      <w:pPr>
        <w:pStyle w:val="Compact"/>
        <w:numPr>
          <w:ilvl w:val="0"/>
          <w:numId w:val="1009"/>
        </w:numPr>
      </w:pPr>
      <w:r>
        <w:t xml:space="preserve">Full-text OCR</w:t>
      </w:r>
    </w:p>
    <w:p>
      <w:pPr>
        <w:pStyle w:val="Compact"/>
        <w:numPr>
          <w:ilvl w:val="0"/>
          <w:numId w:val="1009"/>
        </w:numPr>
      </w:pPr>
      <w:r>
        <w:t xml:space="preserve">Por historia clínica</w:t>
      </w:r>
    </w:p>
    <w:p>
      <w:pPr>
        <w:pStyle w:val="Compact"/>
        <w:numPr>
          <w:ilvl w:val="0"/>
          <w:numId w:val="1009"/>
        </w:numPr>
      </w:pPr>
      <w:r>
        <w:t xml:space="preserve">Filtros avanzados</w:t>
      </w:r>
    </w:p>
    <w:bookmarkEnd w:id="32"/>
    <w:bookmarkStart w:id="33" w:name="seguridad"/>
    <w:p>
      <w:pPr>
        <w:pStyle w:val="Heading3"/>
      </w:pPr>
      <w:r>
        <w:t xml:space="preserve">5.3 Seguridad</w:t>
      </w:r>
    </w:p>
    <w:p>
      <w:pPr>
        <w:pStyle w:val="Compact"/>
        <w:numPr>
          <w:ilvl w:val="0"/>
          <w:numId w:val="1010"/>
        </w:numPr>
      </w:pPr>
      <w:r>
        <w:t xml:space="preserve">Autenticación integrada con Active Directory / LDAP (opcional)</w:t>
      </w:r>
    </w:p>
    <w:p>
      <w:pPr>
        <w:pStyle w:val="Compact"/>
        <w:numPr>
          <w:ilvl w:val="0"/>
          <w:numId w:val="1010"/>
        </w:numPr>
      </w:pPr>
      <w:r>
        <w:t xml:space="preserve">Control de accesos por rol, sector y nivel de confidencialidad</w:t>
      </w:r>
    </w:p>
    <w:p>
      <w:pPr>
        <w:pStyle w:val="Compact"/>
        <w:numPr>
          <w:ilvl w:val="0"/>
          <w:numId w:val="1010"/>
        </w:numPr>
      </w:pPr>
      <w:r>
        <w:t xml:space="preserve">Cifrado AES-256 en reposo</w:t>
      </w:r>
    </w:p>
    <w:p>
      <w:pPr>
        <w:pStyle w:val="Compact"/>
        <w:numPr>
          <w:ilvl w:val="0"/>
          <w:numId w:val="1010"/>
        </w:numPr>
      </w:pPr>
      <w:r>
        <w:t xml:space="preserve">Hash SHA-256 por documento</w:t>
      </w:r>
    </w:p>
    <w:bookmarkEnd w:id="33"/>
    <w:bookmarkStart w:id="34" w:name="auditoría"/>
    <w:p>
      <w:pPr>
        <w:pStyle w:val="Heading3"/>
      </w:pPr>
      <w:r>
        <w:t xml:space="preserve">5.4 Auditoría</w:t>
      </w:r>
    </w:p>
    <w:p>
      <w:pPr>
        <w:pStyle w:val="Compact"/>
        <w:numPr>
          <w:ilvl w:val="0"/>
          <w:numId w:val="1011"/>
        </w:numPr>
      </w:pPr>
      <w:r>
        <w:t xml:space="preserve">Registro inalterable de acciones</w:t>
      </w:r>
    </w:p>
    <w:p>
      <w:pPr>
        <w:pStyle w:val="Compact"/>
        <w:numPr>
          <w:ilvl w:val="0"/>
          <w:numId w:val="1011"/>
        </w:numPr>
      </w:pPr>
      <w:r>
        <w:t xml:space="preserve">Logs exportables</w:t>
      </w:r>
    </w:p>
    <w:p>
      <w:pPr>
        <w:pStyle w:val="Compact"/>
        <w:numPr>
          <w:ilvl w:val="0"/>
          <w:numId w:val="1011"/>
        </w:numPr>
      </w:pPr>
      <w:r>
        <w:t xml:space="preserve">Cumplimiento ISO 27001 / 15489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fraestructura-y-disponibilidad"/>
    <w:p>
      <w:pPr>
        <w:pStyle w:val="Heading2"/>
      </w:pPr>
      <w:r>
        <w:t xml:space="preserve">6. Infraestructura y Disponibilidad</w:t>
      </w:r>
    </w:p>
    <w:p>
      <w:pPr>
        <w:pStyle w:val="Compact"/>
        <w:numPr>
          <w:ilvl w:val="0"/>
          <w:numId w:val="1012"/>
        </w:numPr>
      </w:pPr>
      <w:r>
        <w:t xml:space="preserve">Storage NAS u Object Storage compatible S3</w:t>
      </w:r>
    </w:p>
    <w:p>
      <w:pPr>
        <w:pStyle w:val="Compact"/>
        <w:numPr>
          <w:ilvl w:val="0"/>
          <w:numId w:val="1012"/>
        </w:numPr>
      </w:pPr>
      <w:r>
        <w:t xml:space="preserve">RAID según criticidad</w:t>
      </w:r>
    </w:p>
    <w:p>
      <w:pPr>
        <w:pStyle w:val="Compact"/>
        <w:numPr>
          <w:ilvl w:val="0"/>
          <w:numId w:val="1012"/>
        </w:numPr>
      </w:pPr>
      <w:r>
        <w:t xml:space="preserve">Backups diarios y semanales</w:t>
      </w:r>
    </w:p>
    <w:p>
      <w:pPr>
        <w:pStyle w:val="Compact"/>
        <w:numPr>
          <w:ilvl w:val="0"/>
          <w:numId w:val="1012"/>
        </w:numPr>
      </w:pPr>
      <w:r>
        <w:t xml:space="preserve">Plan de Continuidad Operativa (BCP)</w:t>
      </w:r>
    </w:p>
    <w:p>
      <w:pPr>
        <w:pStyle w:val="Compact"/>
        <w:numPr>
          <w:ilvl w:val="0"/>
          <w:numId w:val="1012"/>
        </w:numPr>
      </w:pPr>
      <w:r>
        <w:t xml:space="preserve">Plan de Recuperación ante Desastres (DRP)</w:t>
      </w:r>
    </w:p>
    <w:p>
      <w:r>
        <w:pict>
          <v:rect style="width:0;height:1.5pt" o:hralign="center" o:hrstd="t" o:hr="t"/>
        </w:pict>
      </w:r>
    </w:p>
    <w:bookmarkEnd w:id="36"/>
    <w:bookmarkStart w:id="37" w:name="entregables"/>
    <w:p>
      <w:pPr>
        <w:pStyle w:val="Heading2"/>
      </w:pPr>
      <w:r>
        <w:t xml:space="preserve">7. Entregables</w:t>
      </w:r>
    </w:p>
    <w:p>
      <w:pPr>
        <w:pStyle w:val="Compact"/>
        <w:numPr>
          <w:ilvl w:val="0"/>
          <w:numId w:val="1013"/>
        </w:numPr>
      </w:pPr>
      <w:r>
        <w:t xml:space="preserve">Código fuente completo</w:t>
      </w:r>
    </w:p>
    <w:p>
      <w:pPr>
        <w:pStyle w:val="Compact"/>
        <w:numPr>
          <w:ilvl w:val="0"/>
          <w:numId w:val="1013"/>
        </w:numPr>
      </w:pPr>
      <w:r>
        <w:t xml:space="preserve">Software productivo</w:t>
      </w:r>
    </w:p>
    <w:p>
      <w:pPr>
        <w:pStyle w:val="Compact"/>
        <w:numPr>
          <w:ilvl w:val="0"/>
          <w:numId w:val="1013"/>
        </w:numPr>
      </w:pPr>
      <w:r>
        <w:t xml:space="preserve">Manual de usuario</w:t>
      </w:r>
    </w:p>
    <w:p>
      <w:pPr>
        <w:pStyle w:val="Compact"/>
        <w:numPr>
          <w:ilvl w:val="0"/>
          <w:numId w:val="1013"/>
        </w:numPr>
      </w:pPr>
      <w:r>
        <w:t xml:space="preserve">Manual técnico</w:t>
      </w:r>
    </w:p>
    <w:p>
      <w:pPr>
        <w:pStyle w:val="Compact"/>
        <w:numPr>
          <w:ilvl w:val="0"/>
          <w:numId w:val="1013"/>
        </w:numPr>
      </w:pPr>
      <w:r>
        <w:t xml:space="preserve">Manual de gobierno documental</w:t>
      </w:r>
    </w:p>
    <w:p>
      <w:pPr>
        <w:pStyle w:val="Compact"/>
        <w:numPr>
          <w:ilvl w:val="0"/>
          <w:numId w:val="1013"/>
        </w:numPr>
      </w:pPr>
      <w:r>
        <w:t xml:space="preserve">Diagramas UML</w:t>
      </w:r>
    </w:p>
    <w:p>
      <w:pPr>
        <w:pStyle w:val="Compact"/>
        <w:numPr>
          <w:ilvl w:val="0"/>
          <w:numId w:val="1013"/>
        </w:numPr>
      </w:pPr>
      <w:r>
        <w:t xml:space="preserve">Modelo de datos</w:t>
      </w:r>
    </w:p>
    <w:p>
      <w:pPr>
        <w:pStyle w:val="Compact"/>
        <w:numPr>
          <w:ilvl w:val="0"/>
          <w:numId w:val="1013"/>
        </w:numPr>
      </w:pPr>
      <w:r>
        <w:t xml:space="preserve">Matriz de cumplimiento normativo</w:t>
      </w:r>
    </w:p>
    <w:p>
      <w:pPr>
        <w:pStyle w:val="Compact"/>
        <w:numPr>
          <w:ilvl w:val="0"/>
          <w:numId w:val="1013"/>
        </w:numPr>
      </w:pPr>
      <w:r>
        <w:t xml:space="preserve">Capacitación técnica y funcional</w:t>
      </w:r>
    </w:p>
    <w:p>
      <w:r>
        <w:pict>
          <v:rect style="width:0;height:1.5pt" o:hralign="center" o:hrstd="t" o:hr="t"/>
        </w:pict>
      </w:r>
    </w:p>
    <w:bookmarkEnd w:id="37"/>
    <w:bookmarkStart w:id="40" w:name="X8c7ec2eb21759a22136dfb82db81758e9b3bd83"/>
    <w:p>
      <w:pPr>
        <w:pStyle w:val="Heading2"/>
      </w:pPr>
      <w:r>
        <w:t xml:space="preserve">8. Esquema Económico – Precios Actualizados (Referencia 2025)</w:t>
      </w:r>
    </w:p>
    <w:bookmarkStart w:id="38" w:name="desarrollo-e-implementación"/>
    <w:p>
      <w:pPr>
        <w:pStyle w:val="Heading3"/>
      </w:pPr>
      <w:r>
        <w:t xml:space="preserve">8.1 Desarrollo e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Relevamiento y análisis</w:t>
            </w:r>
          </w:p>
        </w:tc>
        <w:tc>
          <w:tcPr/>
          <w:p>
            <w:pPr>
              <w:pStyle w:val="Compact"/>
            </w:pPr>
            <w:r>
              <w:t xml:space="preserve">$6.500.000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funcional y técnico</w:t>
            </w:r>
          </w:p>
        </w:tc>
        <w:tc>
          <w:tcPr/>
          <w:p>
            <w:pPr>
              <w:pStyle w:val="Compact"/>
            </w:pPr>
            <w:r>
              <w:t xml:space="preserve">$5.000.000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Backend (.NET + PostgreSQL)</w:t>
            </w:r>
          </w:p>
        </w:tc>
        <w:tc>
          <w:tcPr/>
          <w:p>
            <w:pPr>
              <w:pStyle w:val="Compact"/>
            </w:pPr>
            <w:r>
              <w:t xml:space="preserve">$18.000.000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Frontend Blazor</w:t>
            </w:r>
          </w:p>
        </w:tc>
        <w:tc>
          <w:tcPr/>
          <w:p>
            <w:pPr>
              <w:pStyle w:val="Compact"/>
            </w:pPr>
            <w:r>
              <w:t xml:space="preserve">$12.000.000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Digitalización + OCR</w:t>
            </w:r>
          </w:p>
        </w:tc>
        <w:tc>
          <w:tcPr/>
          <w:p>
            <w:pPr>
              <w:pStyle w:val="Compact"/>
            </w:pPr>
            <w:r>
              <w:t xml:space="preserve">$10.000.000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Seguridad, firma digital y auditoría</w:t>
            </w:r>
          </w:p>
        </w:tc>
        <w:tc>
          <w:tcPr/>
          <w:p>
            <w:pPr>
              <w:pStyle w:val="Compact"/>
            </w:pPr>
            <w:r>
              <w:t xml:space="preserve">$8.500.000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y puesta en marcha</w:t>
            </w:r>
          </w:p>
        </w:tc>
        <w:tc>
          <w:tcPr/>
          <w:p>
            <w:pPr>
              <w:pStyle w:val="Compact"/>
            </w:pPr>
            <w:r>
              <w:t xml:space="preserve">$4.000.000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Desarrollo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$64.000.000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d94ffa0b40f493a435eac4f5ded465874acd64c"/>
    <w:p>
      <w:pPr>
        <w:pStyle w:val="Heading3"/>
      </w:pPr>
      <w:r>
        <w:t xml:space="preserve">8.2 Soporte y Mantenimiento (Opcional – Recomendado)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Mensual 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correctivo y evolutivo (SLA 8x5)</w:t>
            </w:r>
          </w:p>
        </w:tc>
        <w:tc>
          <w:tcPr/>
          <w:p>
            <w:pPr>
              <w:pStyle w:val="Compact"/>
            </w:pPr>
            <w:r>
              <w:t xml:space="preserve">$2.200.000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Actualizaciones normativas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y monitoreo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pPr>
        <w:pStyle w:val="BodyText"/>
      </w:pPr>
      <w:r>
        <w:t xml:space="preserve">Contrato mínimo sugerido:</w:t>
      </w:r>
      <w:r>
        <w:t xml:space="preserve"> </w:t>
      </w:r>
      <w:r>
        <w:rPr>
          <w:b/>
          <w:bCs/>
        </w:rPr>
        <w:t xml:space="preserve">12 meses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diciones-generales"/>
    <w:p>
      <w:pPr>
        <w:pStyle w:val="Heading2"/>
      </w:pPr>
      <w:r>
        <w:t xml:space="preserve">9. Condiciones Generales</w:t>
      </w:r>
    </w:p>
    <w:p>
      <w:pPr>
        <w:pStyle w:val="Compact"/>
        <w:numPr>
          <w:ilvl w:val="0"/>
          <w:numId w:val="1014"/>
        </w:numPr>
      </w:pPr>
      <w:r>
        <w:t xml:space="preserve">Los precios no incluyen IVA</w:t>
      </w:r>
    </w:p>
    <w:p>
      <w:pPr>
        <w:pStyle w:val="Compact"/>
        <w:numPr>
          <w:ilvl w:val="0"/>
          <w:numId w:val="1014"/>
        </w:numPr>
      </w:pPr>
      <w:r>
        <w:t xml:space="preserve">El código fuente es propiedad del Hospital</w:t>
      </w:r>
    </w:p>
    <w:p>
      <w:pPr>
        <w:pStyle w:val="Compact"/>
        <w:numPr>
          <w:ilvl w:val="0"/>
          <w:numId w:val="1014"/>
        </w:numPr>
      </w:pPr>
      <w:r>
        <w:t xml:space="preserve">Entrega por hitos</w:t>
      </w:r>
    </w:p>
    <w:p>
      <w:pPr>
        <w:pStyle w:val="Compact"/>
        <w:numPr>
          <w:ilvl w:val="0"/>
          <w:numId w:val="1014"/>
        </w:numPr>
      </w:pPr>
      <w:r>
        <w:t xml:space="preserve">Aceptación formal por etapa</w:t>
      </w:r>
    </w:p>
    <w:p>
      <w:pPr>
        <w:pStyle w:val="Compact"/>
        <w:numPr>
          <w:ilvl w:val="0"/>
          <w:numId w:val="1014"/>
        </w:numPr>
      </w:pPr>
      <w:r>
        <w:t xml:space="preserve">Confidencialidad contractual</w:t>
      </w:r>
    </w:p>
    <w:p>
      <w:r>
        <w:pict>
          <v:rect style="width:0;height:1.5pt" o:hralign="center" o:hrstd="t" o:hr="t"/>
        </w:pict>
      </w:r>
    </w:p>
    <w:bookmarkEnd w:id="41"/>
    <w:bookmarkStart w:id="42" w:name="observaciones-finales"/>
    <w:p>
      <w:pPr>
        <w:pStyle w:val="Heading2"/>
      </w:pPr>
      <w:r>
        <w:t xml:space="preserve">10. Observaciones Finales</w:t>
      </w:r>
    </w:p>
    <w:p>
      <w:pPr>
        <w:pStyle w:val="FirstParagraph"/>
      </w:pPr>
      <w:r>
        <w:t xml:space="preserve">El SGDH propuesto constituye un sistema crítico, con impacto legal y sanitario, diseñado para soportar procesos de historia clínica digital, auditorías regulatorias y preservación documental de largo plazo.</w:t>
      </w:r>
    </w:p>
    <w:p>
      <w:r>
        <w:pict>
          <v:rect style="width:0;height:1.5pt" o:hralign="center" o:hrstd="t" o:hr="t"/>
        </w:pic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2026-01-07T21:04:02Z</dcterms:created>
  <dcterms:modified xsi:type="dcterms:W3CDTF">2026-01-07T21:04:02Z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