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ACG with cost 10</w:t>
      </w:r>
    </w:p>
    <w:p/>
    <w:p>
      <w:r>
        <w:t>a) A*</w:t>
      </w:r>
    </w:p>
    <w:p/>
    <w:p>
      <w:pPr>
        <w:jc w:val="center"/>
      </w:pPr>
      <w:r>
        <w:drawing>
          <wp:inline xmlns:a="http://schemas.openxmlformats.org/drawingml/2006/main" xmlns:pic="http://schemas.openxmlformats.org/drawingml/2006/picture">
            <wp:extent cx="4860000" cy="20275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027580"/>
                    </a:xfrm>
                    <a:prstGeom prst="rect"/>
                  </pic:spPr>
                </pic:pic>
              </a:graphicData>
            </a:graphic>
          </wp:inline>
        </w:drawing>
      </w:r>
    </w:p>
    <w:p/>
    <w:p>
      <w:r>
        <w:t>The produced solution is ACG with cost 10</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