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3442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3442242"/>
                    </a:xfrm>
                    <a:prstGeom prst="rect"/>
                  </pic:spPr>
                </pic:pic>
              </a:graphicData>
            </a:graphic>
          </wp:inline>
        </w:drawing>
      </w:r>
    </w:p>
    <w:p/>
    <w:p>
      <w:r>
        <w:t>The produced solution is ABCDG with cost 17</w:t>
      </w:r>
    </w:p>
    <w:p/>
    <w:p>
      <w:r>
        <w:t>a) A*</w:t>
      </w:r>
    </w:p>
    <w:p/>
    <w:p>
      <w:pPr>
        <w:jc w:val="center"/>
      </w:pPr>
      <w:r>
        <w:drawing>
          <wp:inline xmlns:a="http://schemas.openxmlformats.org/drawingml/2006/main" xmlns:pic="http://schemas.openxmlformats.org/drawingml/2006/picture">
            <wp:extent cx="4860000" cy="20275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027580"/>
                    </a:xfrm>
                    <a:prstGeom prst="rect"/>
                  </pic:spPr>
                </pic:pic>
              </a:graphicData>
            </a:graphic>
          </wp:inline>
        </w:drawing>
      </w:r>
    </w:p>
    <w:p/>
    <w:p>
      <w:r>
        <w:t>The produced solution is ABG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