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41511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4151121"/>
                    </a:xfrm>
                    <a:prstGeom prst="rect"/>
                  </pic:spPr>
                </pic:pic>
              </a:graphicData>
            </a:graphic>
          </wp:inline>
        </w:drawing>
      </w:r>
    </w:p>
    <w:p/>
    <w:p>
      <w:r>
        <w:t>The produced solution is ABEDCG with cost 23</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ABCG with cost 16</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