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03-06-2025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0275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027580"/>
                    </a:xfrm>
                    <a:prstGeom prst="rect"/>
                  </pic:spPr>
                </pic:pic>
              </a:graphicData>
            </a:graphic>
          </wp:inline>
        </w:drawing>
      </w:r>
    </w:p>
    <w:p/>
    <w:p>
      <w:r>
        <w:t>The produced solution is ABG with cost 14</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ACG with cost 10</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