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05-06-2025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273645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2736459"/>
                    </a:xfrm>
                    <a:prstGeom prst="rect"/>
                  </pic:spPr>
                </pic:pic>
              </a:graphicData>
            </a:graphic>
          </wp:inline>
        </w:drawing>
      </w:r>
    </w:p>
    <w:p/>
    <w:p>
      <w:r>
        <w:t>The produced solution is ACBG with cost 19</w:t>
      </w:r>
    </w:p>
    <w:p/>
    <w:p>
      <w:r>
        <w:t>a) A*</w:t>
      </w:r>
    </w:p>
    <w:p/>
    <w:p>
      <w:pPr>
        <w:jc w:val="center"/>
      </w:pPr>
      <w:r>
        <w:drawing>
          <wp:inline xmlns:a="http://schemas.openxmlformats.org/drawingml/2006/main" xmlns:pic="http://schemas.openxmlformats.org/drawingml/2006/picture">
            <wp:extent cx="4860000" cy="344224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3442242"/>
                    </a:xfrm>
                    <a:prstGeom prst="rect"/>
                  </pic:spPr>
                </pic:pic>
              </a:graphicData>
            </a:graphic>
          </wp:inline>
        </w:drawing>
      </w:r>
    </w:p>
    <w:p/>
    <w:p>
      <w:r>
        <w:t>The produced solution is ACBG with cost 19</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