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34422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3442242"/>
                    </a:xfrm>
                    <a:prstGeom prst="rect"/>
                  </pic:spPr>
                </pic:pic>
              </a:graphicData>
            </a:graphic>
          </wp:inline>
        </w:drawing>
      </w:r>
    </w:p>
    <w:p/>
    <w:p>
      <w:r>
        <w:t>The produced solution is ADBCG with cost 22</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ACG with cost 15</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