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22-07-2025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0275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027580"/>
                    </a:xfrm>
                    <a:prstGeom prst="rect"/>
                  </pic:spPr>
                </pic:pic>
              </a:graphicData>
            </a:graphic>
          </wp:inline>
        </w:drawing>
      </w:r>
    </w:p>
    <w:p/>
    <w:p>
      <w:r>
        <w:t>The produced solution is ADG with cost 13</w:t>
      </w:r>
    </w:p>
    <w:p/>
    <w:p>
      <w:r>
        <w:t>a) A*</w:t>
      </w:r>
    </w:p>
    <w:p/>
    <w:p>
      <w:pPr>
        <w:jc w:val="center"/>
      </w:pPr>
      <w:r>
        <w:drawing>
          <wp:inline xmlns:a="http://schemas.openxmlformats.org/drawingml/2006/main" xmlns:pic="http://schemas.openxmlformats.org/drawingml/2006/picture">
            <wp:extent cx="4860000" cy="344224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3442242"/>
                    </a:xfrm>
                    <a:prstGeom prst="rect"/>
                  </pic:spPr>
                </pic:pic>
              </a:graphicData>
            </a:graphic>
          </wp:inline>
        </w:drawing>
      </w:r>
    </w:p>
    <w:p/>
    <w:p>
      <w:r>
        <w:t>The produced solution is ADG with cost 13</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