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ICDU Pipeline: Executive Quick Hits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What it is, why it matters, and what inaction costs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730A3"/>
          <w:sz w:val="20"/>
          <w:szCs w:val="20"/>
        </w:rPr>
        <w:t xml:space="preserve">WHAT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30A3" w:sz="1"/>
              <w:left w:val="single" w:color="3730A3" w:sz="6"/>
              <w:bottom w:val="single" w:color="3730A3" w:sz="1"/>
              <w:right w:val="single" w:color="3730A3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/>
            </w:r>
          </w:p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ICDU (Intent-Conscious Data Unit)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is a patented AI safety and evaluation pipeline with four components: a structured data format that encodes intent, principles, and context per scenario; an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AI Judge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that gates outputs before deployment; a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HITL Nuance Grader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for human-scored quality; and a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Stress Engine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that tests stability across controlled perturbations.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3730A3"/>
          <w:sz w:val="20"/>
          <w:szCs w:val="20"/>
        </w:rPr>
        <w:t xml:space="preserve">WHY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$67.4B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1F2937"/>
                <w:sz w:val="13"/>
                <w:szCs w:val="13"/>
              </w:rPr>
              <w:t xml:space="preserve">lost to AI hallucinations in 2024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70–85%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1F2937"/>
                <w:sz w:val="13"/>
                <w:szCs w:val="13"/>
              </w:rPr>
              <w:t xml:space="preserve">of AI projects fail to meet outcomes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€35M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1F2937"/>
                <w:sz w:val="13"/>
                <w:szCs w:val="13"/>
              </w:rPr>
              <w:t xml:space="preserve">max EU AI Act fine per violation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$10B+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1F2937"/>
                <w:sz w:val="13"/>
                <w:szCs w:val="13"/>
              </w:rPr>
              <w:t xml:space="preserve">projected remediation costs by mid-2026 (Gartner)</w:t>
            </w:r>
          </w:p>
        </w:tc>
      </w:tr>
    </w:tbl>
    <w:p>
      <w:pPr>
        <w:spacing w:before="8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4748B" w:sz="1"/>
              <w:left w:val="single" w:color="64748B" w:sz="6"/>
              <w:bottom w:val="single" w:color="64748B" w:sz="1"/>
              <w:right w:val="single" w:color="64748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The gap</w:t>
            </w:r>
          </w:p>
          <w:p>
            <w:pPr>
              <w:spacing w:before="0" w:after="0" w:line="26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Standard benchmarks (MMLU, HumanEval) tell you a model is capable. They don’t tell you it’s safe, aligned to intent, or stable under real-world variation.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That’s the gap where failures — and fines — happen.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3730A3"/>
          <w:sz w:val="20"/>
          <w:szCs w:val="20"/>
        </w:rPr>
        <w:t xml:space="preserve">HOW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REPLACES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ICDU Record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Encodes intent, principles, persona, context per scenario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Ad-hoc prompts with no embedded success criteria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AI Judge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Scores intent-alignment, principle-adherence, and application; gates as promote / escalate / block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Post-hoc red-teaming with no formal thresholds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HITL Grader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Rubric-based human scoring of empathy, clarity, trust; aggregated and logged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Unstructured preference rankings (Chatbot Arena)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Stress Engine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Generates controlled variations of role, tone, constraints, channel at scale</w:t>
            </w:r>
          </w:p>
        </w:tc>
        <w:tc>
          <w:tcPr>
            <w:tcW w:type="dxa" w:w="3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Limited jailbreak testing with no systematic coverage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3730A3"/>
          <w:sz w:val="20"/>
          <w:szCs w:val="20"/>
        </w:rPr>
        <w:t xml:space="preserve">COST OF INACTION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INCIDENT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Chatbot hallucination erases shareholder value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2024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$100B market cap loss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AI copyright class action settlement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2025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$1.5B settlement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GDPR fine for ChatGPT data breach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2024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€15M fine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Biased tenant screening AI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2024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$2.2M + mandatory audit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Per-employee hallucination mitigation cost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  <w:jc w:val="center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2025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~$14,200/year (Forrester)</w:t>
            </w:r>
          </w:p>
        </w:tc>
      </w:tr>
    </w:tbl>
    <w:p>
      <w:pPr>
        <w:spacing w:before="1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E185D" w:sz="1"/>
              <w:left w:val="single" w:color="BE185D" w:sz="6"/>
              <w:bottom w:val="single" w:color="BE185D" w:sz="1"/>
              <w:right w:val="single" w:color="BE185D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E185D"/>
                <w:sz w:val="17"/>
                <w:szCs w:val="17"/>
              </w:rPr>
              <w:t xml:space="preserve">BOTTOM LINE</w:t>
            </w:r>
          </w:p>
          <w:p>
            <w:pPr>
              <w:spacing w:before="0" w:after="0" w:line="260"/>
            </w:pPr>
            <w:r>
              <w:rPr>
                <w:rFonts w:ascii="Arial" w:cs="Arial" w:eastAsia="Arial" w:hAnsi="Arial"/>
                <w:i/>
                <w:iCs/>
                <w:color w:val="1F2937"/>
                <w:sz w:val="16"/>
                <w:szCs w:val="16"/>
              </w:rPr>
              <w:t xml:space="preserve">Standard evaluation asks: </w:t>
            </w:r>
            <w:r>
              <w:rPr>
                <w:rFonts w:ascii="Arial" w:cs="Arial" w:eastAsia="Arial" w:hAnsi="Arial"/>
                <w:i/>
                <w:iCs/>
                <w:color w:val="1F2937"/>
                <w:sz w:val="16"/>
                <w:szCs w:val="16"/>
              </w:rPr>
              <w:t xml:space="preserve">"Is this model capable?" </w:t>
            </w:r>
            <w:r>
              <w:rPr>
                <w:rFonts w:ascii="Arial" w:cs="Arial" w:eastAsia="Arial" w:hAnsi="Arial"/>
                <w:i/>
                <w:iCs/>
                <w:color w:val="1F2937"/>
                <w:sz w:val="16"/>
                <w:szCs w:val="16"/>
              </w:rPr>
              <w:t xml:space="preserve">ICDU asks: 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"Is it safe, aligned, and stable enough to deploy?"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One question measures benchmarks. The other prevents the $67B problem.</w:t>
            </w:r>
          </w:p>
        </w:tc>
      </w:tr>
    </w:tbl>
    <w:p>
      <w:pPr>
        <w:spacing w:before="140" w:after="0" w:line="200"/>
      </w:pPr>
      <w:r>
        <w:rPr>
          <w:rFonts w:ascii="Arial" w:cs="Arial" w:eastAsia="Arial" w:hAnsi="Arial"/>
          <w:i/>
          <w:iCs/>
          <w:color w:val="6B7280"/>
          <w:sz w:val="13"/>
          <w:szCs w:val="13"/>
        </w:rPr>
        <w:t xml:space="preserve">Sources: AllAboutAI 2025, Forrester 2025, S&amp;P Global 2025, MIT/RAND, Gartner 2025, EU AI Act Art. 99, IBM AI Adoption Index 2025</w:t>
      </w:r>
    </w:p>
    <w:sectPr>
      <w:headerReference w:type="default" r:id="rId6"/>
      <w:footerReference w:type="default" r:id="rId7"/>
      <w:pgSz w:w="12240" w:h="15840" w:orient="portrait"/>
      <w:pgMar w:top="720" w:right="1080" w:bottom="6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3"/>
        <w:szCs w:val="13"/>
      </w:rPr>
      <w:t xml:space="preserve">Patented  |  Overture Systems  |  bcfrerichs@gmail.com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7280"/>
        <w:sz w:val="13"/>
        <w:szCs w:val="13"/>
      </w:rPr>
      <w:t xml:space="preserve">ICDU PIPELINE</w:t>
    </w:r>
    <w:r>
      <w:rPr>
        <w:rFonts w:ascii="Arial" w:cs="Arial" w:eastAsia="Arial" w:hAnsi="Arial"/>
        <w:color w:val="D1D5DB"/>
        <w:sz w:val="13"/>
        <w:szCs w:val="13"/>
      </w:rPr>
      <w:t xml:space="preserve">  |  </w:t>
    </w:r>
    <w:r>
      <w:rPr>
        <w:rFonts w:ascii="Arial" w:cs="Arial" w:eastAsia="Arial" w:hAnsi="Arial"/>
        <w:color w:val="6B7280"/>
        <w:sz w:val="13"/>
        <w:szCs w:val="13"/>
      </w:rPr>
      <w:t xml:space="preserve">EXECUTIVE QUICK HITS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80"/>
      <w:outlineLvl w:val="0"/>
    </w:pPr>
    <w:rPr>
      <w:rFonts w:ascii="Arial" w:cs="Arial" w:eastAsia="Arial" w:hAnsi="Arial"/>
      <w:b/>
      <w:bCs/>
      <w:color w:val="3730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3730A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2026-02-10T10:42:53.586Z</dcterms:created>
  <dcterms:modified xsi:type="dcterms:W3CDTF">2026-02-10T10:42:53.587Z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