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ICDU Pipeline vs. Standard LLM Evaluation</w:t>
      </w:r>
    </w:p>
    <w:p>
      <w:pPr>
        <w:spacing w:before="60"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 side-by-side comparison of outcomes, safety coverage, and auditability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730A3" w:sz="1"/>
              <w:left w:val="single" w:color="3730A3" w:sz="6"/>
              <w:bottom w:val="single" w:color="3730A3" w:sz="1"/>
              <w:right w:val="single" w:color="3730A3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THE PROBLEM</w:t>
            </w:r>
          </w:p>
          <w:p>
            <w:pPr>
              <w:spacing w:before="0" w:after="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Standard LLM benchmarks (MMLU, HumanEval, HellaSwag) measure capability in isolation — they do not verify intent alignment, principle adherence, or stability under real-world perturbations. Models scoring &gt;90% on MMLU still produce hallucinations, unsafe outputs, and inconsistent behavior when deployed. The ICDU pipeline closes this gap with structured, auditable evaluation gates.</w:t>
            </w:r>
          </w:p>
        </w:tc>
      </w:tr>
    </w:tbl>
    <w:p>
      <w:pPr>
        <w:pStyle w:val="Heading2"/>
      </w:pPr>
      <w:r>
        <w:t xml:space="preserve">HEAD-TO-HEAD COMPARISON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80"/>
        <w:gridCol w:w="3780"/>
      </w:tblGrid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474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 LLM EVAL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ICDU PIPELINE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Intent Specification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Implicit in prompt wording; not formally encoded or measured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Explicit: primary_goal + success_criteria encoded in every ICDU record, scored via Intent-Alignment Score (IAS)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Safety Gates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Post-hoc red-teaming or guardrails; no formal promote/block threshold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AI Judge gates with threshold decisions: promote, escalate, or block before deployment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Principle Adherence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Measured only via toxicity / refusal benchmarks (TruthfulQA, BBQ); domain rules not encoded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Governing principles embedded per scenario; Principle-Adherence Score (PAS) computed for each output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Human Nuance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Chatbot Arena / MT-Bench use preference ranking; no structured rubric for empathy, clarity, trust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HITL Nuance Grader: rubric scoring for empathy, clarity, coaching quality, trust — aggregated + logged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Perturbation Testing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Limited adversarial testing (jailbreaks, prompt injection); no systematic variation of role/tone/channel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Stress Engine generates controlled scenario variations across role, tone, constraints, and channel at scale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Auditability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Benchmark scores are aggregate; individual decisions are not traceable to structured fields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Every decision traceable: ICDU record → evaluator scores → gate outcome → audit log with governance ID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Repeatability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Prompt-sensitivity confounds results; different harness implementations yield different MMLU scores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Same ICDU + same model = comparable results over time; structured schema eliminates prompt variation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Fairness / Bias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Tested via BBQ or WinoBias in isolation; not re-evaluated across deployment scenarios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Disparity indicators measured across perturbation sets; fairness is a continuous pipeline metric</w:t>
            </w:r>
          </w:p>
        </w:tc>
      </w:tr>
    </w:tbl>
    <w:p>
      <w:pPr>
        <w:pStyle w:val="Heading2"/>
      </w:pPr>
      <w:r>
        <w:t xml:space="preserve">STANDARD BENCHMARKS: STRONG AT CAPABILITY, WEAK AT SAFETY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440"/>
        <w:gridCol w:w="244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474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474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474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TOP SCORE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474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BLIND SPOT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MMLU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Knowledge across 57 subjects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&gt;90% (saturating)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No intent or context testing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HumanEval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Code generation correctness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&gt;90% pass@1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No safety or principle gates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TruthfulQA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Factual accuracy under pressure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~70–80% truthful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Single-dimension, no rubric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MT-Bench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Multi-turn conversation quality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9.0+ / 10 (GPT-4 class)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No perturbation or audit trail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HellaSwag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Commonsense reasoning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&gt;95% (saturating)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Static; no domain governance</w:t>
            </w:r>
          </w:p>
        </w:tc>
      </w:tr>
    </w:tbl>
    <w:p>
      <w:pPr>
        <w:pStyle w:val="Heading2"/>
      </w:pPr>
      <w:r>
        <w:t xml:space="preserve">ICDU PIPELINE: WHAT IT ADDS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80"/>
        <w:gridCol w:w="3780"/>
      </w:tblGrid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ICDU Record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Encodes intent, principles, persona, context, and success criteria per scenario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Eliminates underspecified prompts; every evaluation is anchored to explicit requirements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AI Judge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Scores IAS, PAS, Application Score; makes promote / escalate / block decisions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Hard gate before deployment; unsafe or misaligned outputs never reach production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HITL Nuance Grader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Human rubric for empathy, clarity, coaching quality, perceived trust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Qualitative dimensions captured consistently; scores feed back into model calibration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Stress Engine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Systematic perturbation of role, tone, constraints, channel across all scenarios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Surfaces instability, bias, and failure modes before deployment — not after</w:t>
            </w:r>
          </w:p>
        </w:tc>
      </w:tr>
    </w:tbl>
    <w:p>
      <w:pPr>
        <w:spacing w:before="24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E185D" w:sz="1"/>
              <w:left w:val="single" w:color="BE185D" w:sz="6"/>
              <w:bottom w:val="single" w:color="BE185D" w:sz="1"/>
              <w:right w:val="single" w:color="BE185D" w:sz="1"/>
            </w:tcBorders>
            <w:shd w:fill="FFF1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E185D"/>
                <w:sz w:val="18"/>
                <w:szCs w:val="18"/>
              </w:rPr>
              <w:t xml:space="preserve">BOTTOM LINE</w:t>
            </w:r>
          </w:p>
          <w:p>
            <w:pPr>
              <w:spacing w:before="0" w:after="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Standard benchmarks answer: </w:t>
            </w:r>
            <w:r>
              <w:rPr>
                <w:rFonts w:ascii="Arial" w:cs="Arial" w:eastAsia="Arial" w:hAnsi="Arial"/>
                <w:i/>
                <w:iCs/>
                <w:color w:val="1F2937"/>
                <w:sz w:val="17"/>
                <w:szCs w:val="17"/>
              </w:rPr>
              <w:t xml:space="preserve">"How capable is this model?"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The ICDU pipeline answers: </w:t>
            </w:r>
            <w:r>
              <w:rPr>
                <w:rFonts w:ascii="Arial" w:cs="Arial" w:eastAsia="Arial" w:hAnsi="Arial"/>
                <w:i/>
                <w:iCs/>
                <w:color w:val="1F2937"/>
                <w:sz w:val="17"/>
                <w:szCs w:val="17"/>
              </w:rPr>
              <w:t xml:space="preserve">"Is this model safe, aligned, and stable enough to deploy for this specific use case?"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In regulated and high-trust domains — healthcare, finance, education, robotics — only the second question matters at deployment time.</w:t>
            </w:r>
          </w:p>
        </w:tc>
      </w:tr>
    </w:tbl>
    <w:p>
      <w:pPr>
        <w:spacing w:before="200" w:after="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Patented (US Non-Provisional Filed)  |  PCT Planned  |  </w:t>
      </w:r>
      <w:r>
        <w:rPr>
          <w:rFonts w:ascii="Arial" w:cs="Arial" w:eastAsia="Arial" w:hAnsi="Arial"/>
          <w:b/>
          <w:bCs/>
          <w:color w:val="3730A3"/>
          <w:sz w:val="16"/>
          <w:szCs w:val="16"/>
        </w:rPr>
        <w:t xml:space="preserve">Contact: bcfrerichs@gmail.com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720" w:right="1080" w:bottom="720" w:left="1080" w:header="708" w:footer="708" w:gutter="0"/>
          <w:pgNumType/>
          <w:docGrid w:linePitch="360"/>
        </w:sectPr>
      </w:pPr>
    </w:p>
    <w:p>
      <w:pPr>
        <w:spacing w:before="0" w:after="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The Financial Case for ICDU</w:t>
      </w:r>
    </w:p>
    <w:p>
      <w:pPr>
        <w:spacing w:before="60"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Cost of inaction, regulatory exposure, and ROI of structured AI evaluation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2626" w:sz="1"/>
              <w:left w:val="single" w:color="DC2626" w:sz="6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THE COST OF UNSTRUCTURED AI DEPLOYMENT</w:t>
            </w:r>
          </w:p>
          <w:p>
            <w:pPr>
              <w:spacing w:before="0" w:after="0" w:line="28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$67.4 billion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in global losses attributed to AI hallucinations in 2024 alone (AllAboutAI, 2025). </w:t>
            </w: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42%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of companies abandoned most AI initiatives in 2025, up from 17% the prior year (S&amp;P Global). </w:t>
            </w: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70–85%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of AI projects fail to meet expected outcomes (MIT / RAND Corporation).</w:t>
            </w:r>
          </w:p>
        </w:tc>
      </w:tr>
    </w:tbl>
    <w:p>
      <w:pPr>
        <w:pStyle w:val="Heading2"/>
      </w:pPr>
      <w:r>
        <w:t xml:space="preserve">REAL-WORLD AI FAILURE COSTS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80"/>
        <w:gridCol w:w="3300"/>
      </w:tblGrid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TYPE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/ DATA POINT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FINANCIAL IMPACT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Hallucinated Output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Single chatbot hallucination erased shareholder value within hours (2024)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$100B market cap loss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Copyright Violation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AI developer settled class action for training on copyrighted books (2025)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$1.5B settlement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GDPR Non-Compliance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OpenAI fined by Italy for ChatGPT data breach reporting failures (Dec 2024)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€15M fine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Algorithmic Bias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SafeRent tenant screening AI found to discriminate against protected classes (2024)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$2.2M settlement + audit mandate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Hallucinated Legal Filing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600+ cases nationwide where lawyers cited nonexistent authority generated by AI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Sanctions + reputational loss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Autonomous System Failure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Waymo recalled 1,200+ robotaxis after software failed to detect stationary objects (2025)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Recall costs + regulatory scrutiny</w:t>
            </w:r>
          </w:p>
        </w:tc>
      </w:tr>
    </w:tbl>
    <w:p>
      <w:pPr>
        <w:pStyle w:val="Heading2"/>
      </w:pPr>
      <w:r>
        <w:t xml:space="preserve">REGULATORY EXPOSURE: WHAT’S COMING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200"/>
        <w:gridCol w:w="3360"/>
      </w:tblGrid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REGULATION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MAXIMUM PENALTY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EU AI Act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Risk assessments, audit trails, and human oversight for high-risk AI systems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€35M or 7% of global annual turnover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GDPR (AI Impact)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Lawful data processing, breach notification, transparency in algorithmic decisions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€20M or 4% of global turnover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US State Laws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Colorado AI Act: risk management programs + impact assessments; Texas AI law effective Jan 2026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Varies; enforcement ramping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US Federal (Proposed)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AI LEAD Act: classifies AI as products, creates federal products liability cause of action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Unlimited tort liability</w:t>
            </w:r>
          </w:p>
        </w:tc>
      </w:tr>
    </w:tbl>
    <w:p>
      <w:pPr>
        <w:spacing w:before="12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Gartner projects: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By mid-2026, illegal AI-informed decision-making will cost more than </w:t>
            </w: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$10 billion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in remediation costs across AI vendors and users. AI regulatory violations will create a </w:t>
            </w: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30% increase in legal disputes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for tech companies by 2028.</w:t>
            </w:r>
          </w:p>
        </w:tc>
      </w:tr>
    </w:tbl>
    <w:p>
      <w:pPr>
        <w:pStyle w:val="Heading2"/>
      </w:pPr>
      <w:r>
        <w:t xml:space="preserve">COST COMPARISON: REMEDIATION vs. PREVENTION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474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CATEGORY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WITHOUT ICDU (REMEDIATE)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WITH ICDU (PREVENT)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Hallucination Mitigation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~$14,200 per employee/year in manual verification and rework (Forrester, 2025)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AI Judge gates catch misaligned outputs before they reach users; verification is systematic, not manual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Failed AI Initiatives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46% of AI POCs scrapped before production (S&amp;P Global, 2025); sunk investment in models that can’t pass safety review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Structured ICDU evaluation catches failure modes early; promotes only models that meet explicit thresholds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Regulatory Compliance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Retroactive audits, external assessors, and emergency remediation after regulatory action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Built-in audit trails with governance IDs; every decision traceable from ICDU → score → gate → log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Reputational Recovery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39% of customer service bots pulled back or reworked in 2024 due to hallucination errors (Customer Experience Assoc.)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Stress Engine tests perturbations across role, tone, and channel at scale before deployment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Human Oversight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76% of enterprises added HITL processes ad hoc to catch hallucinations (IBM AI Adoption Index, 2025)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HITL Nuance Grader is a native pipeline component with structured rubrics, aggregation, and governance logging</w:t>
            </w:r>
          </w:p>
        </w:tc>
      </w:tr>
    </w:tbl>
    <w:p>
      <w:pPr>
        <w:spacing w:before="16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59669" w:sz="1"/>
              <w:left w:val="single" w:color="059669" w:sz="6"/>
              <w:bottom w:val="single" w:color="059669" w:sz="1"/>
              <w:right w:val="single" w:color="059669" w:sz="1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THE ROI ARGUMENT</w:t>
            </w:r>
          </w:p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The industry currently spends $3.70 to earn $1 of AI ROI (McKinsey, 2025), with the majority lost to failed initiatives, manual verification, and post-deployment remediation. The ICDU pipeline shifts this equation by moving evaluation </w:t>
            </w: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upstream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: structured intent encoding eliminates underspecified prompts, automated gates replace ad-hoc review, and systematic perturbation testing catches failures </w:t>
            </w: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before they become incidents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. For a 500-person AI-enabled organization, hallucination mitigation alone costs an estimated $7.1M/year. Structured pre-deployment evaluation is a fraction of that spend.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SOURCES</w:t>
      </w:r>
    </w:p>
    <w:p>
      <w:pPr>
        <w:spacing w:before="0" w:after="0" w:line="220"/>
      </w:pPr>
      <w:r>
        <w:rPr>
          <w:rFonts w:ascii="Arial" w:cs="Arial" w:eastAsia="Arial" w:hAnsi="Arial"/>
          <w:i/>
          <w:iCs/>
          <w:color w:val="6B7280"/>
          <w:sz w:val="14"/>
          <w:szCs w:val="14"/>
        </w:rPr>
        <w:t xml:space="preserve">AllAboutAI (2025) AI Hallucination Report  •  Forrester (2025) Total Economic Impact of Hallucination Mitigation  •  S&amp;P Global Market Intelligence (2025)  •  MIT / RAND Corporation  •  Gartner (2025) AI Regulatory Projections  •  IBM AI Adoption Index (2025)  •  McKinsey (2025) State of AI Survey  •  EU AI Act, Article 99  •  Customer Experience Association (2024)</w:t>
      </w:r>
    </w:p>
    <w:p>
      <w:pPr>
        <w:spacing w:before="140" w:after="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Patented (US Non-Provisional Filed)  |  PCT Planned  |  </w:t>
      </w:r>
      <w:r>
        <w:rPr>
          <w:rFonts w:ascii="Arial" w:cs="Arial" w:eastAsia="Arial" w:hAnsi="Arial"/>
          <w:b/>
          <w:bCs/>
          <w:color w:val="3730A3"/>
          <w:sz w:val="16"/>
          <w:szCs w:val="16"/>
        </w:rPr>
        <w:t xml:space="preserve">Contact: bcfrerichs@gmail.com</w:t>
      </w:r>
    </w:p>
    <w:sectPr>
      <w:headerReference w:type="default" r:id="rId8"/>
      <w:footerReference w:type="default" r:id="rId9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Patented  |  Overture Systems  |  Confidential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Patented  |  Overture Systems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6B7280"/>
        <w:sz w:val="14"/>
        <w:szCs w:val="14"/>
      </w:rPr>
      <w:t xml:space="preserve">ICDU EVALUATION PIPELINE</w:t>
    </w:r>
    <w:r>
      <w:rPr>
        <w:rFonts w:ascii="Arial" w:cs="Arial" w:eastAsia="Arial" w:hAnsi="Arial"/>
        <w:color w:val="D1D5DB"/>
        <w:sz w:val="14"/>
        <w:szCs w:val="14"/>
      </w:rPr>
      <w:t xml:space="preserve">  |  </w:t>
    </w:r>
    <w:r>
      <w:rPr>
        <w:rFonts w:ascii="Arial" w:cs="Arial" w:eastAsia="Arial" w:hAnsi="Arial"/>
        <w:color w:val="6B7280"/>
        <w:sz w:val="14"/>
        <w:szCs w:val="14"/>
      </w:rPr>
      <w:t xml:space="preserve">COMPARATIVE ANALYSIS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6B7280"/>
        <w:sz w:val="14"/>
        <w:szCs w:val="14"/>
      </w:rPr>
      <w:t xml:space="preserve">ICDU EVALUATION PIPELINE</w:t>
    </w:r>
    <w:r>
      <w:rPr>
        <w:rFonts w:ascii="Arial" w:cs="Arial" w:eastAsia="Arial" w:hAnsi="Arial"/>
        <w:color w:val="D1D5DB"/>
        <w:sz w:val="14"/>
        <w:szCs w:val="14"/>
      </w:rPr>
      <w:t xml:space="preserve">  |  </w:t>
    </w:r>
    <w:r>
      <w:rPr>
        <w:rFonts w:ascii="Arial" w:cs="Arial" w:eastAsia="Arial" w:hAnsi="Arial"/>
        <w:color w:val="6B7280"/>
        <w:sz w:val="14"/>
        <w:szCs w:val="14"/>
      </w:rPr>
      <w:t xml:space="preserve">FINANCIAL IMPACT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120"/>
      <w:outlineLvl w:val="0"/>
    </w:pPr>
    <w:rPr>
      <w:rFonts w:ascii="Arial" w:cs="Arial" w:eastAsia="Arial" w:hAnsi="Arial"/>
      <w:b/>
      <w:bCs/>
      <w:color w:val="3730A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3730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2026-02-10T10:37:32.121Z</dcterms:created>
  <dcterms:modified xsi:type="dcterms:W3CDTF">2026-02-10T10:37:32.122Z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