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37D9" w14:paraId="06CEE7EB" w14:textId="77777777">
        <w:tblPrEx>
          <w:tblCellMar>
            <w:top w:w="0" w:type="dxa"/>
            <w:bottom w:w="0" w:type="dxa"/>
          </w:tblCellMar>
        </w:tblPrEx>
        <w:tc>
          <w:tcPr>
            <w:tcW w:w="9720" w:type="dxa"/>
            <w:shd w:val="clear" w:color="auto" w:fill="1B2A4A"/>
            <w:tcMar>
              <w:top w:w="100" w:type="dxa"/>
              <w:left w:w="140" w:type="dxa"/>
              <w:bottom w:w="100" w:type="dxa"/>
              <w:right w:w="140" w:type="dxa"/>
            </w:tcMar>
            <w:vAlign w:val="center"/>
          </w:tcPr>
          <w:p w14:paraId="22D42375" w14:textId="77777777" w:rsidR="007D37D9" w:rsidRDefault="00000000">
            <w:pPr>
              <w:spacing w:after="30"/>
            </w:pPr>
            <w:r>
              <w:rPr>
                <w:b/>
                <w:bCs/>
                <w:color w:val="FFFFFF"/>
                <w:sz w:val="30"/>
                <w:szCs w:val="30"/>
              </w:rPr>
              <w:t>STOP PAYING MIDDLEMEN FOR WORK THEY CAN’T DO</w:t>
            </w:r>
          </w:p>
          <w:p w14:paraId="3F60FCCC" w14:textId="77777777" w:rsidR="007D37D9" w:rsidRDefault="00000000">
            <w:r>
              <w:rPr>
                <w:color w:val="B0C4DE"/>
                <w:sz w:val="21"/>
                <w:szCs w:val="21"/>
              </w:rPr>
              <w:t xml:space="preserve">Why </w:t>
            </w:r>
            <w:r w:rsidRPr="007D1CB8">
              <w:rPr>
                <w:b/>
                <w:bCs/>
                <w:color w:val="B0C4DE"/>
                <w:sz w:val="21"/>
                <w:szCs w:val="21"/>
              </w:rPr>
              <w:t>Overture</w:t>
            </w:r>
            <w:r>
              <w:rPr>
                <w:color w:val="B0C4DE"/>
                <w:sz w:val="21"/>
                <w:szCs w:val="21"/>
              </w:rPr>
              <w:t xml:space="preserve"> is the only firm that owns the full AI lifecycle — and the only one with a patented safety pipeline.</w:t>
            </w:r>
          </w:p>
        </w:tc>
      </w:tr>
    </w:tbl>
    <w:p w14:paraId="4AA3D2A0" w14:textId="77777777" w:rsidR="007D37D9" w:rsidRDefault="007D37D9">
      <w:pPr>
        <w:spacing w:after="100"/>
      </w:pPr>
    </w:p>
    <w:p w14:paraId="09D41D12" w14:textId="18B35F64" w:rsidR="007D37D9" w:rsidRDefault="00000000">
      <w:pPr>
        <w:pStyle w:val="Heading1"/>
      </w:pPr>
      <w:r>
        <w:t>Here’s what’s</w:t>
      </w:r>
      <w:r w:rsidR="007D1CB8">
        <w:t xml:space="preserve"> </w:t>
      </w:r>
      <w:r>
        <w:t>happening.</w:t>
      </w:r>
    </w:p>
    <w:p w14:paraId="296BDFF5" w14:textId="77777777" w:rsidR="007D37D9" w:rsidRDefault="00000000">
      <w:pPr>
        <w:spacing w:after="80"/>
      </w:pPr>
      <w:r>
        <w:t xml:space="preserve">You hire a </w:t>
      </w:r>
      <w:r>
        <w:rPr>
          <w:b/>
          <w:bCs/>
        </w:rPr>
        <w:t>Cognizant</w:t>
      </w:r>
      <w:r>
        <w:t xml:space="preserve">, a </w:t>
      </w:r>
      <w:r>
        <w:rPr>
          <w:b/>
          <w:bCs/>
        </w:rPr>
        <w:t>Persistent</w:t>
      </w:r>
      <w:r>
        <w:t xml:space="preserve">, or an </w:t>
      </w:r>
      <w:r>
        <w:rPr>
          <w:b/>
          <w:bCs/>
        </w:rPr>
        <w:t>Accenture</w:t>
      </w:r>
      <w:r>
        <w:t xml:space="preserve">. They scope a roadmap. Bill you monthly. Then subcontract the hard technical work to firms like </w:t>
      </w:r>
      <w:r>
        <w:rPr>
          <w:b/>
          <w:bCs/>
        </w:rPr>
        <w:t>us</w:t>
      </w:r>
      <w:r>
        <w:t xml:space="preserve">. You’re paying a markup on the people actually doing the work — and none of them own the safety or evaluation IP. </w:t>
      </w:r>
      <w:r>
        <w:rPr>
          <w:b/>
          <w:bCs/>
        </w:rPr>
        <w:t>Not one.</w:t>
      </w:r>
    </w:p>
    <w:p w14:paraId="2A7B781F" w14:textId="345F45D6" w:rsidR="007D37D9" w:rsidRDefault="00000000">
      <w:pPr>
        <w:pStyle w:val="Heading1"/>
      </w:pPr>
      <w:r>
        <w:t>What they sell you vs. what they have.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37D9" w14:paraId="11650DED" w14:textId="77777777">
        <w:tblPrEx>
          <w:tblCellMar>
            <w:top w:w="0" w:type="dxa"/>
            <w:bottom w:w="0" w:type="dxa"/>
          </w:tblCellMar>
        </w:tblPrEx>
        <w:tc>
          <w:tcPr>
            <w:tcW w:w="9720" w:type="dxa"/>
            <w:shd w:val="clear" w:color="auto" w:fill="FDF2F0"/>
            <w:tcMar>
              <w:top w:w="100" w:type="dxa"/>
              <w:left w:w="140" w:type="dxa"/>
              <w:bottom w:w="100" w:type="dxa"/>
              <w:right w:w="140" w:type="dxa"/>
            </w:tcMar>
            <w:vAlign w:val="center"/>
          </w:tcPr>
          <w:p w14:paraId="5DBC06FD" w14:textId="77777777" w:rsidR="007D37D9" w:rsidRDefault="00000000">
            <w:pPr>
              <w:spacing w:after="60"/>
            </w:pPr>
            <w:r>
              <w:rPr>
                <w:b/>
                <w:bCs/>
                <w:color w:val="C0392B"/>
                <w:sz w:val="21"/>
                <w:szCs w:val="21"/>
              </w:rPr>
              <w:t xml:space="preserve">COGNIZANT </w:t>
            </w:r>
            <w:r>
              <w:rPr>
                <w:sz w:val="21"/>
                <w:szCs w:val="21"/>
              </w:rPr>
              <w:t xml:space="preserve">just announced 1,000 “context engineers” — powered by a third-party platform (Workfabric AI) </w:t>
            </w:r>
            <w:r>
              <w:rPr>
                <w:b/>
                <w:bCs/>
                <w:sz w:val="21"/>
                <w:szCs w:val="21"/>
              </w:rPr>
              <w:t>they don’t own.</w:t>
            </w:r>
            <w:r>
              <w:rPr>
                <w:sz w:val="21"/>
                <w:szCs w:val="21"/>
              </w:rPr>
              <w:t xml:space="preserve"> They partnered with Anthropic to deploy Claude to 350,000 employees. Partnered with Microsoft to resell Azure Copilot. They’re assembling other people’s technology and calling it a solution. No proprietary evaluation. No safety pipeline. No patent. They don’t build — they </w:t>
            </w:r>
            <w:r>
              <w:rPr>
                <w:b/>
                <w:bCs/>
                <w:i/>
                <w:iCs/>
                <w:sz w:val="21"/>
                <w:szCs w:val="21"/>
              </w:rPr>
              <w:t>broker.</w:t>
            </w:r>
          </w:p>
        </w:tc>
      </w:tr>
    </w:tbl>
    <w:p w14:paraId="6CD3F3CB" w14:textId="77777777" w:rsidR="007D37D9" w:rsidRDefault="007D37D9">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37D9" w14:paraId="2359C0AB" w14:textId="77777777">
        <w:tblPrEx>
          <w:tblCellMar>
            <w:top w:w="0" w:type="dxa"/>
            <w:bottom w:w="0" w:type="dxa"/>
          </w:tblCellMar>
        </w:tblPrEx>
        <w:tc>
          <w:tcPr>
            <w:tcW w:w="9720" w:type="dxa"/>
            <w:shd w:val="clear" w:color="auto" w:fill="FDF2F0"/>
            <w:tcMar>
              <w:top w:w="100" w:type="dxa"/>
              <w:left w:w="140" w:type="dxa"/>
              <w:bottom w:w="100" w:type="dxa"/>
              <w:right w:w="140" w:type="dxa"/>
            </w:tcMar>
            <w:vAlign w:val="center"/>
          </w:tcPr>
          <w:p w14:paraId="1A3CA384" w14:textId="77777777" w:rsidR="007D37D9" w:rsidRDefault="00000000">
            <w:pPr>
              <w:spacing w:after="60"/>
            </w:pPr>
            <w:r>
              <w:rPr>
                <w:b/>
                <w:bCs/>
                <w:color w:val="C0392B"/>
                <w:sz w:val="21"/>
                <w:szCs w:val="21"/>
              </w:rPr>
              <w:t xml:space="preserve">PERSISTENT </w:t>
            </w:r>
            <w:r>
              <w:rPr>
                <w:sz w:val="21"/>
                <w:szCs w:val="21"/>
              </w:rPr>
              <w:t xml:space="preserve">builds on Azure and AWS stacks they license — not own. When the engagement ends, you’re locked into infrastructure they chose for </w:t>
            </w:r>
            <w:r>
              <w:rPr>
                <w:i/>
                <w:iCs/>
                <w:sz w:val="21"/>
                <w:szCs w:val="21"/>
              </w:rPr>
              <w:t>their</w:t>
            </w:r>
            <w:r>
              <w:rPr>
                <w:sz w:val="21"/>
                <w:szCs w:val="21"/>
              </w:rPr>
              <w:t xml:space="preserve"> convenience, not yours. Zero proprietary AI evaluation tooling. Zero safety IP. They’re a staffing layer between you and the cloud vendors you could call directly.</w:t>
            </w:r>
          </w:p>
        </w:tc>
      </w:tr>
    </w:tbl>
    <w:p w14:paraId="45411F10" w14:textId="77777777" w:rsidR="007D37D9" w:rsidRDefault="007D37D9">
      <w:pPr>
        <w:spacing w:after="6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37D9" w14:paraId="45A12E46" w14:textId="77777777">
        <w:tblPrEx>
          <w:tblCellMar>
            <w:top w:w="0" w:type="dxa"/>
            <w:bottom w:w="0" w:type="dxa"/>
          </w:tblCellMar>
        </w:tblPrEx>
        <w:tc>
          <w:tcPr>
            <w:tcW w:w="9720" w:type="dxa"/>
            <w:shd w:val="clear" w:color="auto" w:fill="FDF2F0"/>
            <w:tcMar>
              <w:top w:w="100" w:type="dxa"/>
              <w:left w:w="140" w:type="dxa"/>
              <w:bottom w:w="100" w:type="dxa"/>
              <w:right w:w="140" w:type="dxa"/>
            </w:tcMar>
            <w:vAlign w:val="center"/>
          </w:tcPr>
          <w:p w14:paraId="6E517277" w14:textId="77777777" w:rsidR="007D37D9" w:rsidRDefault="00000000">
            <w:pPr>
              <w:spacing w:after="60"/>
            </w:pPr>
            <w:r>
              <w:rPr>
                <w:b/>
                <w:bCs/>
                <w:color w:val="C0392B"/>
                <w:sz w:val="21"/>
                <w:szCs w:val="21"/>
              </w:rPr>
              <w:t xml:space="preserve">ACCENTURE </w:t>
            </w:r>
            <w:r>
              <w:rPr>
                <w:sz w:val="21"/>
                <w:szCs w:val="21"/>
              </w:rPr>
              <w:t>is the most expensive version of the same problem. They’ll staff a 30-person team, run a 12-month engagement, and deliver a strategy deck with a recommended vendor stack — that they also happen to resell. When it’s time to build the safety and evaluation layer? They don’t have one. They’ll either skip it or subcontract it. You’re paying Big Four rates for a referral.</w:t>
            </w:r>
          </w:p>
        </w:tc>
      </w:tr>
    </w:tbl>
    <w:p w14:paraId="537914C3" w14:textId="77777777" w:rsidR="007D37D9" w:rsidRDefault="007D37D9">
      <w:pPr>
        <w:spacing w:after="60"/>
      </w:pPr>
    </w:p>
    <w:p w14:paraId="671E54CE" w14:textId="77777777" w:rsidR="007D37D9" w:rsidRDefault="00000000">
      <w:pPr>
        <w:pStyle w:val="Heading1"/>
      </w:pPr>
      <w:r>
        <w:t>The model vendors aren’t any better.</w:t>
      </w:r>
    </w:p>
    <w:p w14:paraId="11A8461E" w14:textId="77777777" w:rsidR="007D37D9" w:rsidRDefault="00000000">
      <w:pPr>
        <w:spacing w:after="80"/>
      </w:pPr>
      <w:r>
        <w:t xml:space="preserve">ChatGPT, Gemini, and Claude all publish benchmarks designed to make </w:t>
      </w:r>
      <w:r>
        <w:rPr>
          <w:i/>
          <w:iCs/>
        </w:rPr>
        <w:t>themselves</w:t>
      </w:r>
      <w:r>
        <w:t xml:space="preserve"> look best on </w:t>
      </w:r>
      <w:r>
        <w:rPr>
          <w:i/>
          <w:iCs/>
        </w:rPr>
        <w:t>their own tests.</w:t>
      </w:r>
      <w:r>
        <w:t xml:space="preserve"> Their training data, their marketing, their “enterprise-ready” labels — all engineered to lock you into </w:t>
      </w:r>
      <w:r>
        <w:rPr>
          <w:i/>
          <w:iCs/>
        </w:rPr>
        <w:t>their</w:t>
      </w:r>
      <w:r>
        <w:t xml:space="preserve"> ecosystem. </w:t>
      </w:r>
      <w:r>
        <w:rPr>
          <w:b/>
          <w:bCs/>
        </w:rPr>
        <w:t>Not one of them measures whether a model is safe for your use case, aligned to your intent, or stable under your real-world conditions.</w:t>
      </w:r>
      <w:r>
        <w:t xml:space="preserve"> Those are the only questions that matter for regulated industries. And those are the questions </w:t>
      </w:r>
      <w:r>
        <w:rPr>
          <w:b/>
          <w:bCs/>
        </w:rPr>
        <w:t>only ICDU answers.</w:t>
      </w:r>
    </w:p>
    <w:p w14:paraId="7F96BA39" w14:textId="6F7FCCEC" w:rsidR="007D37D9" w:rsidRDefault="00000000">
      <w:pPr>
        <w:pStyle w:val="Heading1"/>
      </w:pPr>
      <w:r>
        <w:t>What only Overture has</w:t>
      </w:r>
      <w:r w:rsidR="007D1CB8">
        <w:t xml:space="preserve"> vs Others</w:t>
      </w:r>
      <w: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7D37D9" w14:paraId="7DDC8543"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40" w:type="dxa"/>
              <w:bottom w:w="100" w:type="dxa"/>
              <w:right w:w="140" w:type="dxa"/>
            </w:tcMar>
            <w:vAlign w:val="center"/>
          </w:tcPr>
          <w:p w14:paraId="547307EE" w14:textId="77777777" w:rsidR="007D37D9" w:rsidRDefault="00000000">
            <w:pPr>
              <w:jc w:val="center"/>
            </w:pPr>
            <w:r>
              <w:rPr>
                <w:b/>
                <w:bCs/>
                <w:color w:val="FFFFFF"/>
                <w:sz w:val="19"/>
                <w:szCs w:val="19"/>
              </w:rPr>
              <w:t>CAPABILITY</w:t>
            </w:r>
          </w:p>
        </w:tc>
        <w:tc>
          <w:tcPr>
            <w:tcW w:w="3240" w:type="dxa"/>
            <w:tcBorders>
              <w:top w:val="single" w:sz="1" w:space="0" w:color="CCCCCC"/>
              <w:left w:val="single" w:sz="1" w:space="0" w:color="CCCCCC"/>
              <w:bottom w:val="single" w:sz="1" w:space="0" w:color="CCCCCC"/>
              <w:right w:val="single" w:sz="1" w:space="0" w:color="CCCCCC"/>
            </w:tcBorders>
            <w:shd w:val="clear" w:color="auto" w:fill="7B241C"/>
            <w:tcMar>
              <w:top w:w="100" w:type="dxa"/>
              <w:left w:w="140" w:type="dxa"/>
              <w:bottom w:w="100" w:type="dxa"/>
              <w:right w:w="140" w:type="dxa"/>
            </w:tcMar>
            <w:vAlign w:val="center"/>
          </w:tcPr>
          <w:p w14:paraId="5C040C9A" w14:textId="77777777" w:rsidR="007D37D9" w:rsidRDefault="00000000">
            <w:pPr>
              <w:jc w:val="center"/>
            </w:pPr>
            <w:r>
              <w:rPr>
                <w:b/>
                <w:bCs/>
                <w:color w:val="FFFFFF"/>
                <w:sz w:val="19"/>
                <w:szCs w:val="19"/>
              </w:rPr>
              <w:t>THE OTHERS</w:t>
            </w:r>
          </w:p>
        </w:tc>
        <w:tc>
          <w:tcPr>
            <w:tcW w:w="3240" w:type="dxa"/>
            <w:tcBorders>
              <w:top w:val="single" w:sz="1" w:space="0" w:color="CCCCCC"/>
              <w:left w:val="single" w:sz="1" w:space="0" w:color="CCCCCC"/>
              <w:bottom w:val="single" w:sz="1" w:space="0" w:color="CCCCCC"/>
              <w:right w:val="single" w:sz="1" w:space="0" w:color="CCCCCC"/>
            </w:tcBorders>
            <w:shd w:val="clear" w:color="auto" w:fill="2E74B5"/>
            <w:tcMar>
              <w:top w:w="100" w:type="dxa"/>
              <w:left w:w="140" w:type="dxa"/>
              <w:bottom w:w="100" w:type="dxa"/>
              <w:right w:w="140" w:type="dxa"/>
            </w:tcMar>
            <w:vAlign w:val="center"/>
          </w:tcPr>
          <w:p w14:paraId="2264534D" w14:textId="77777777" w:rsidR="007D37D9" w:rsidRDefault="00000000">
            <w:pPr>
              <w:jc w:val="center"/>
            </w:pPr>
            <w:r>
              <w:rPr>
                <w:b/>
                <w:bCs/>
                <w:color w:val="FFFFFF"/>
                <w:sz w:val="19"/>
                <w:szCs w:val="19"/>
              </w:rPr>
              <w:t>OVERTURE</w:t>
            </w:r>
          </w:p>
        </w:tc>
      </w:tr>
      <w:tr w:rsidR="007D37D9" w14:paraId="74BD1134"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vAlign w:val="center"/>
          </w:tcPr>
          <w:p w14:paraId="0FF168CF" w14:textId="77777777" w:rsidR="007D37D9" w:rsidRDefault="00000000">
            <w:r>
              <w:rPr>
                <w:b/>
                <w:bCs/>
                <w:sz w:val="19"/>
                <w:szCs w:val="19"/>
              </w:rPr>
              <w:t>AI Safety Pipeline</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B4E7E47" w14:textId="77777777" w:rsidR="007D37D9" w:rsidRDefault="00000000">
            <w:r>
              <w:rPr>
                <w:color w:val="C0392B"/>
                <w:sz w:val="19"/>
                <w:szCs w:val="19"/>
              </w:rPr>
              <w:t>Doesn’t exist. No firm in the consulting stack has one. They red-team ad hoc and hope for the best.</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D4F42A8" w14:textId="77777777" w:rsidR="007D37D9" w:rsidRDefault="00000000">
            <w:r>
              <w:rPr>
                <w:b/>
                <w:bCs/>
                <w:sz w:val="19"/>
                <w:szCs w:val="19"/>
              </w:rPr>
              <w:t>Patented ICDU: Intent Capture → AI Judge gates → HITL Nuance Grader → Stress Engine. The only structured safety pipeline in the market.</w:t>
            </w:r>
          </w:p>
        </w:tc>
      </w:tr>
      <w:tr w:rsidR="007D37D9" w14:paraId="1253245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vAlign w:val="center"/>
          </w:tcPr>
          <w:p w14:paraId="1449E07E" w14:textId="77777777" w:rsidR="007D37D9" w:rsidRDefault="00000000">
            <w:r>
              <w:rPr>
                <w:b/>
                <w:bCs/>
                <w:sz w:val="19"/>
                <w:szCs w:val="19"/>
              </w:rPr>
              <w:t>Strategy-to-Production</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1360B20" w14:textId="77777777" w:rsidR="007D37D9" w:rsidRDefault="00000000">
            <w:r>
              <w:rPr>
                <w:color w:val="C0392B"/>
                <w:sz w:val="19"/>
                <w:szCs w:val="19"/>
              </w:rPr>
              <w:t xml:space="preserve">Strategy team hands off to build team. Build team hands off to ops. </w:t>
            </w:r>
            <w:r>
              <w:rPr>
                <w:color w:val="C0392B"/>
                <w:sz w:val="19"/>
                <w:szCs w:val="19"/>
              </w:rPr>
              <w:lastRenderedPageBreak/>
              <w:t>Every handoff is where projects die. 70–85% failure rate.</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4155C429" w14:textId="77777777" w:rsidR="007D37D9" w:rsidRDefault="00000000">
            <w:r>
              <w:rPr>
                <w:sz w:val="19"/>
                <w:szCs w:val="19"/>
              </w:rPr>
              <w:lastRenderedPageBreak/>
              <w:t xml:space="preserve">Same team from strategy to production. No handoff. No gap. </w:t>
            </w:r>
            <w:r>
              <w:rPr>
                <w:sz w:val="19"/>
                <w:szCs w:val="19"/>
              </w:rPr>
              <w:lastRenderedPageBreak/>
              <w:t>95% success rate. You talk to the people doing the work.</w:t>
            </w:r>
          </w:p>
        </w:tc>
      </w:tr>
      <w:tr w:rsidR="007D37D9" w14:paraId="6C88D755"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vAlign w:val="center"/>
          </w:tcPr>
          <w:p w14:paraId="1AA640CD" w14:textId="77777777" w:rsidR="007D37D9" w:rsidRDefault="00000000">
            <w:r>
              <w:rPr>
                <w:b/>
                <w:bCs/>
                <w:sz w:val="19"/>
                <w:szCs w:val="19"/>
              </w:rPr>
              <w:lastRenderedPageBreak/>
              <w:t>Model Independence</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7710C379" w14:textId="77777777" w:rsidR="007D37D9" w:rsidRDefault="00000000">
            <w:r>
              <w:rPr>
                <w:color w:val="C0392B"/>
                <w:sz w:val="19"/>
                <w:szCs w:val="19"/>
              </w:rPr>
              <w:t>Locked to one vendor’s stack. Cognizant sells Microsoft. Persistent sells AWS. They pick the model that pays them, not the one that fits you.</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5927F257" w14:textId="77777777" w:rsidR="007D37D9" w:rsidRDefault="00000000">
            <w:r>
              <w:rPr>
                <w:sz w:val="19"/>
                <w:szCs w:val="19"/>
              </w:rPr>
              <w:t>14+ foundation models. Latest tested, best-fit-for-purpose. We pick the model that makes you money — not the one that makes us a referral fee.</w:t>
            </w:r>
          </w:p>
        </w:tc>
      </w:tr>
      <w:tr w:rsidR="007D37D9" w14:paraId="2568C769"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vAlign w:val="center"/>
          </w:tcPr>
          <w:p w14:paraId="58B9CF04" w14:textId="77777777" w:rsidR="007D37D9" w:rsidRDefault="00000000">
            <w:r>
              <w:rPr>
                <w:b/>
                <w:bCs/>
                <w:sz w:val="19"/>
                <w:szCs w:val="19"/>
              </w:rPr>
              <w:t>Proprietary IP</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B479F19" w14:textId="77777777" w:rsidR="007D37D9" w:rsidRDefault="00000000">
            <w:r>
              <w:rPr>
                <w:color w:val="C0392B"/>
                <w:sz w:val="19"/>
                <w:szCs w:val="19"/>
              </w:rPr>
              <w:t>Zero. They license everything. Cognizant’s “context engineers” run on Workfabric’s platform. When the partnership ends, so does the capability.</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5AF6956" w14:textId="77777777" w:rsidR="007D37D9" w:rsidRDefault="00000000">
            <w:r>
              <w:rPr>
                <w:sz w:val="19"/>
                <w:szCs w:val="19"/>
              </w:rPr>
              <w:t>ICDU is ours. Patented. Built in-house. Tested in production. We train on it, we deploy it, we own it. That IP doesn’t walk out the door.</w:t>
            </w:r>
          </w:p>
        </w:tc>
      </w:tr>
      <w:tr w:rsidR="007D37D9" w14:paraId="6B5FD57A" w14:textId="77777777">
        <w:tblPrEx>
          <w:tblCellMar>
            <w:top w:w="0" w:type="dxa"/>
            <w:bottom w:w="0" w:type="dxa"/>
          </w:tblCellMar>
        </w:tblPrEx>
        <w:tc>
          <w:tcPr>
            <w:tcW w:w="3240" w:type="dxa"/>
            <w:tcBorders>
              <w:top w:val="single" w:sz="1" w:space="0" w:color="CCCCCC"/>
              <w:left w:val="single" w:sz="1" w:space="0" w:color="CCCCCC"/>
              <w:bottom w:val="single" w:sz="1" w:space="0" w:color="CCCCCC"/>
              <w:right w:val="single" w:sz="1" w:space="0" w:color="CCCCCC"/>
            </w:tcBorders>
            <w:shd w:val="clear" w:color="auto" w:fill="F2F6FA"/>
            <w:tcMar>
              <w:top w:w="100" w:type="dxa"/>
              <w:left w:w="140" w:type="dxa"/>
              <w:bottom w:w="100" w:type="dxa"/>
              <w:right w:w="140" w:type="dxa"/>
            </w:tcMar>
            <w:vAlign w:val="center"/>
          </w:tcPr>
          <w:p w14:paraId="3FB6BF57" w14:textId="77777777" w:rsidR="007D37D9" w:rsidRDefault="00000000">
            <w:r>
              <w:rPr>
                <w:b/>
                <w:bCs/>
                <w:sz w:val="19"/>
                <w:szCs w:val="19"/>
              </w:rPr>
              <w:t>Compliance &amp; Audit</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60D74F49" w14:textId="77777777" w:rsidR="007D37D9" w:rsidRDefault="00000000">
            <w:r>
              <w:rPr>
                <w:color w:val="C0392B"/>
                <w:sz w:val="19"/>
                <w:szCs w:val="19"/>
              </w:rPr>
              <w:t>Bolted on after the fact. Retroactive audits cost 4–6x prevention. EU AI Act fines up to €35M. That’s their plan: fix it after it breaks.</w:t>
            </w:r>
          </w:p>
        </w:tc>
        <w:tc>
          <w:tcPr>
            <w:tcW w:w="3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vAlign w:val="center"/>
          </w:tcPr>
          <w:p w14:paraId="3F0985D3" w14:textId="77777777" w:rsidR="007D37D9" w:rsidRDefault="00000000">
            <w:r>
              <w:rPr>
                <w:sz w:val="19"/>
                <w:szCs w:val="19"/>
              </w:rPr>
              <w:t>SOC 2 + HIPAA + governance IDs from day one. Every AI decision traceable from intent to output. Audit-ready before a single model reaches production.</w:t>
            </w:r>
          </w:p>
        </w:tc>
      </w:tr>
    </w:tbl>
    <w:p w14:paraId="568DA3C1" w14:textId="77777777" w:rsidR="007D37D9" w:rsidRDefault="007D37D9">
      <w:pPr>
        <w:spacing w:after="60"/>
      </w:pPr>
    </w:p>
    <w:p w14:paraId="12CFF576" w14:textId="3BDDEFCE" w:rsidR="007D37D9" w:rsidRDefault="00000000">
      <w:pPr>
        <w:pStyle w:val="Heading1"/>
      </w:pPr>
      <w:r>
        <w:t xml:space="preserve">The cost of doing it </w:t>
      </w:r>
      <w:r w:rsidR="007D1CB8">
        <w:t>the wrong way</w:t>
      </w:r>
      <w: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7D37D9" w14:paraId="437DD847" w14:textId="77777777">
        <w:tblPrEx>
          <w:tblCellMar>
            <w:top w:w="0" w:type="dxa"/>
            <w:bottom w:w="0" w:type="dxa"/>
          </w:tblCellMar>
        </w:tblPrEx>
        <w:tc>
          <w:tcPr>
            <w:tcW w:w="2430" w:type="dxa"/>
            <w:shd w:val="clear" w:color="auto" w:fill="F2F6FA"/>
            <w:tcMar>
              <w:top w:w="100" w:type="dxa"/>
              <w:left w:w="140" w:type="dxa"/>
              <w:bottom w:w="100" w:type="dxa"/>
              <w:right w:w="140" w:type="dxa"/>
            </w:tcMar>
            <w:vAlign w:val="center"/>
          </w:tcPr>
          <w:p w14:paraId="4F087B3F" w14:textId="77777777" w:rsidR="007D37D9" w:rsidRDefault="00000000">
            <w:pPr>
              <w:spacing w:after="10"/>
              <w:jc w:val="center"/>
            </w:pPr>
            <w:r>
              <w:rPr>
                <w:b/>
                <w:bCs/>
                <w:color w:val="C0392B"/>
                <w:sz w:val="26"/>
                <w:szCs w:val="26"/>
              </w:rPr>
              <w:t>$67.4B</w:t>
            </w:r>
          </w:p>
          <w:p w14:paraId="136CEF64" w14:textId="77777777" w:rsidR="007D37D9" w:rsidRDefault="00000000">
            <w:pPr>
              <w:jc w:val="center"/>
            </w:pPr>
            <w:r>
              <w:rPr>
                <w:color w:val="666666"/>
                <w:sz w:val="15"/>
                <w:szCs w:val="15"/>
              </w:rPr>
              <w:t>AI hallucination losses (2024)</w:t>
            </w:r>
          </w:p>
        </w:tc>
        <w:tc>
          <w:tcPr>
            <w:tcW w:w="2430" w:type="dxa"/>
            <w:shd w:val="clear" w:color="auto" w:fill="F2F6FA"/>
            <w:tcMar>
              <w:top w:w="100" w:type="dxa"/>
              <w:left w:w="140" w:type="dxa"/>
              <w:bottom w:w="100" w:type="dxa"/>
              <w:right w:w="140" w:type="dxa"/>
            </w:tcMar>
            <w:vAlign w:val="center"/>
          </w:tcPr>
          <w:p w14:paraId="55287817" w14:textId="77777777" w:rsidR="007D37D9" w:rsidRDefault="00000000">
            <w:pPr>
              <w:spacing w:after="10"/>
              <w:jc w:val="center"/>
            </w:pPr>
            <w:r>
              <w:rPr>
                <w:b/>
                <w:bCs/>
                <w:color w:val="C0392B"/>
                <w:sz w:val="26"/>
                <w:szCs w:val="26"/>
              </w:rPr>
              <w:t>$7.1M/yr</w:t>
            </w:r>
          </w:p>
          <w:p w14:paraId="0C93DD01" w14:textId="77777777" w:rsidR="007D37D9" w:rsidRDefault="00000000">
            <w:pPr>
              <w:jc w:val="center"/>
            </w:pPr>
            <w:r>
              <w:rPr>
                <w:color w:val="666666"/>
                <w:sz w:val="15"/>
                <w:szCs w:val="15"/>
              </w:rPr>
              <w:t>per 500-person org (Forrester)</w:t>
            </w:r>
          </w:p>
        </w:tc>
        <w:tc>
          <w:tcPr>
            <w:tcW w:w="2430" w:type="dxa"/>
            <w:shd w:val="clear" w:color="auto" w:fill="F2F6FA"/>
            <w:tcMar>
              <w:top w:w="100" w:type="dxa"/>
              <w:left w:w="140" w:type="dxa"/>
              <w:bottom w:w="100" w:type="dxa"/>
              <w:right w:w="140" w:type="dxa"/>
            </w:tcMar>
            <w:vAlign w:val="center"/>
          </w:tcPr>
          <w:p w14:paraId="1F923041" w14:textId="77777777" w:rsidR="007D37D9" w:rsidRDefault="00000000">
            <w:pPr>
              <w:spacing w:after="10"/>
              <w:jc w:val="center"/>
            </w:pPr>
            <w:r>
              <w:rPr>
                <w:b/>
                <w:bCs/>
                <w:color w:val="C0392B"/>
                <w:sz w:val="26"/>
                <w:szCs w:val="26"/>
              </w:rPr>
              <w:t>$3.70 : $1</w:t>
            </w:r>
          </w:p>
          <w:p w14:paraId="4651ECA1" w14:textId="77777777" w:rsidR="007D37D9" w:rsidRDefault="00000000">
            <w:pPr>
              <w:jc w:val="center"/>
            </w:pPr>
            <w:r>
              <w:rPr>
                <w:color w:val="666666"/>
                <w:sz w:val="15"/>
                <w:szCs w:val="15"/>
              </w:rPr>
              <w:t>industry spend-to-ROI</w:t>
            </w:r>
          </w:p>
        </w:tc>
        <w:tc>
          <w:tcPr>
            <w:tcW w:w="2430" w:type="dxa"/>
            <w:shd w:val="clear" w:color="auto" w:fill="F2F6FA"/>
            <w:tcMar>
              <w:top w:w="100" w:type="dxa"/>
              <w:left w:w="140" w:type="dxa"/>
              <w:bottom w:w="100" w:type="dxa"/>
              <w:right w:w="140" w:type="dxa"/>
            </w:tcMar>
            <w:vAlign w:val="center"/>
          </w:tcPr>
          <w:p w14:paraId="4FEFAD1C" w14:textId="77777777" w:rsidR="007D37D9" w:rsidRDefault="00000000">
            <w:pPr>
              <w:spacing w:after="10"/>
              <w:jc w:val="center"/>
            </w:pPr>
            <w:r>
              <w:rPr>
                <w:b/>
                <w:bCs/>
                <w:color w:val="C0392B"/>
                <w:sz w:val="26"/>
                <w:szCs w:val="26"/>
              </w:rPr>
              <w:t>42%</w:t>
            </w:r>
          </w:p>
          <w:p w14:paraId="38D0F618" w14:textId="77777777" w:rsidR="007D37D9" w:rsidRDefault="00000000">
            <w:pPr>
              <w:jc w:val="center"/>
            </w:pPr>
            <w:r>
              <w:rPr>
                <w:color w:val="666666"/>
                <w:sz w:val="15"/>
                <w:szCs w:val="15"/>
              </w:rPr>
              <w:t>companies abandoning AI</w:t>
            </w:r>
          </w:p>
        </w:tc>
      </w:tr>
    </w:tbl>
    <w:p w14:paraId="4DDEE24D" w14:textId="1F68E76C" w:rsidR="007D37D9" w:rsidRDefault="00000000">
      <w:pPr>
        <w:spacing w:before="80" w:after="40"/>
      </w:pPr>
      <w:r>
        <w:t xml:space="preserve">That’s the industry average. </w:t>
      </w:r>
      <w:r>
        <w:rPr>
          <w:b/>
          <w:bCs/>
        </w:rPr>
        <w:t>That’s their track record.</w:t>
      </w:r>
      <w:r>
        <w:t xml:space="preserve"> $3.70 burned for every $1 of AI ROI. 70–85% project failure rates. 42% of companies </w:t>
      </w:r>
      <w:r w:rsidR="007D1CB8">
        <w:t>give</w:t>
      </w:r>
      <w:r>
        <w:t xml:space="preserve"> up entirely. These are the results you get from firms that don’t own the evaluation layer, don’t own the safety tooling, and don’t own the outcome.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7D37D9" w14:paraId="4A27727A" w14:textId="77777777">
        <w:tblPrEx>
          <w:tblCellMar>
            <w:top w:w="0" w:type="dxa"/>
            <w:bottom w:w="0" w:type="dxa"/>
          </w:tblCellMar>
        </w:tblPrEx>
        <w:tc>
          <w:tcPr>
            <w:tcW w:w="2430" w:type="dxa"/>
            <w:shd w:val="clear" w:color="auto" w:fill="1B2A4A"/>
            <w:tcMar>
              <w:top w:w="100" w:type="dxa"/>
              <w:left w:w="140" w:type="dxa"/>
              <w:bottom w:w="100" w:type="dxa"/>
              <w:right w:w="140" w:type="dxa"/>
            </w:tcMar>
            <w:vAlign w:val="center"/>
          </w:tcPr>
          <w:p w14:paraId="7A9C7AE3" w14:textId="77777777" w:rsidR="007D37D9" w:rsidRDefault="00000000">
            <w:pPr>
              <w:spacing w:after="10"/>
              <w:jc w:val="center"/>
            </w:pPr>
            <w:r>
              <w:rPr>
                <w:b/>
                <w:bCs/>
                <w:color w:val="FFFFFF"/>
                <w:sz w:val="26"/>
                <w:szCs w:val="26"/>
              </w:rPr>
              <w:t>3.5x</w:t>
            </w:r>
          </w:p>
          <w:p w14:paraId="60234B47" w14:textId="77777777" w:rsidR="007D37D9" w:rsidRDefault="00000000">
            <w:pPr>
              <w:jc w:val="center"/>
            </w:pPr>
            <w:r>
              <w:rPr>
                <w:color w:val="B0C4DE"/>
                <w:sz w:val="15"/>
                <w:szCs w:val="15"/>
              </w:rPr>
              <w:t>Client ROI (18 months)</w:t>
            </w:r>
          </w:p>
        </w:tc>
        <w:tc>
          <w:tcPr>
            <w:tcW w:w="2430" w:type="dxa"/>
            <w:shd w:val="clear" w:color="auto" w:fill="1B2A4A"/>
            <w:tcMar>
              <w:top w:w="100" w:type="dxa"/>
              <w:left w:w="140" w:type="dxa"/>
              <w:bottom w:w="100" w:type="dxa"/>
              <w:right w:w="140" w:type="dxa"/>
            </w:tcMar>
            <w:vAlign w:val="center"/>
          </w:tcPr>
          <w:p w14:paraId="450BC387" w14:textId="77777777" w:rsidR="007D37D9" w:rsidRDefault="00000000">
            <w:pPr>
              <w:spacing w:after="10"/>
              <w:jc w:val="center"/>
            </w:pPr>
            <w:r>
              <w:rPr>
                <w:b/>
                <w:bCs/>
                <w:color w:val="FFFFFF"/>
                <w:sz w:val="26"/>
                <w:szCs w:val="26"/>
              </w:rPr>
              <w:t>95%</w:t>
            </w:r>
          </w:p>
          <w:p w14:paraId="6F58D89F" w14:textId="77777777" w:rsidR="007D37D9" w:rsidRDefault="00000000">
            <w:pPr>
              <w:jc w:val="center"/>
            </w:pPr>
            <w:r>
              <w:rPr>
                <w:color w:val="B0C4DE"/>
                <w:sz w:val="15"/>
                <w:szCs w:val="15"/>
              </w:rPr>
              <w:t>Project success rate</w:t>
            </w:r>
          </w:p>
        </w:tc>
        <w:tc>
          <w:tcPr>
            <w:tcW w:w="2430" w:type="dxa"/>
            <w:shd w:val="clear" w:color="auto" w:fill="1B2A4A"/>
            <w:tcMar>
              <w:top w:w="100" w:type="dxa"/>
              <w:left w:w="140" w:type="dxa"/>
              <w:bottom w:w="100" w:type="dxa"/>
              <w:right w:w="140" w:type="dxa"/>
            </w:tcMar>
            <w:vAlign w:val="center"/>
          </w:tcPr>
          <w:p w14:paraId="3E7B5003" w14:textId="77777777" w:rsidR="007D37D9" w:rsidRDefault="00000000">
            <w:pPr>
              <w:spacing w:after="10"/>
              <w:jc w:val="center"/>
            </w:pPr>
            <w:r>
              <w:rPr>
                <w:b/>
                <w:bCs/>
                <w:color w:val="FFFFFF"/>
                <w:sz w:val="26"/>
                <w:szCs w:val="26"/>
              </w:rPr>
              <w:t>200+</w:t>
            </w:r>
          </w:p>
          <w:p w14:paraId="1BB94D7F" w14:textId="77777777" w:rsidR="007D37D9" w:rsidRDefault="00000000">
            <w:pPr>
              <w:jc w:val="center"/>
            </w:pPr>
            <w:r>
              <w:rPr>
                <w:color w:val="B0C4DE"/>
                <w:sz w:val="15"/>
                <w:szCs w:val="15"/>
              </w:rPr>
              <w:t>Enterprises transformed</w:t>
            </w:r>
          </w:p>
        </w:tc>
        <w:tc>
          <w:tcPr>
            <w:tcW w:w="2430" w:type="dxa"/>
            <w:shd w:val="clear" w:color="auto" w:fill="1B2A4A"/>
            <w:tcMar>
              <w:top w:w="100" w:type="dxa"/>
              <w:left w:w="140" w:type="dxa"/>
              <w:bottom w:w="100" w:type="dxa"/>
              <w:right w:w="140" w:type="dxa"/>
            </w:tcMar>
            <w:vAlign w:val="center"/>
          </w:tcPr>
          <w:p w14:paraId="2EDEC2C6" w14:textId="77777777" w:rsidR="007D37D9" w:rsidRDefault="00000000">
            <w:pPr>
              <w:spacing w:after="10"/>
              <w:jc w:val="center"/>
            </w:pPr>
            <w:r>
              <w:rPr>
                <w:b/>
                <w:bCs/>
                <w:color w:val="FFFFFF"/>
                <w:sz w:val="26"/>
                <w:szCs w:val="26"/>
              </w:rPr>
              <w:t>60%</w:t>
            </w:r>
          </w:p>
          <w:p w14:paraId="32E30444" w14:textId="77777777" w:rsidR="007D37D9" w:rsidRDefault="00000000">
            <w:pPr>
              <w:jc w:val="center"/>
            </w:pPr>
            <w:r>
              <w:rPr>
                <w:color w:val="B0C4DE"/>
                <w:sz w:val="15"/>
                <w:szCs w:val="15"/>
              </w:rPr>
              <w:t>Faster to production</w:t>
            </w:r>
          </w:p>
        </w:tc>
      </w:tr>
    </w:tbl>
    <w:p w14:paraId="665FA0FD" w14:textId="77777777" w:rsidR="007D37D9" w:rsidRDefault="00000000">
      <w:pPr>
        <w:spacing w:before="80" w:after="60"/>
      </w:pPr>
      <w:r>
        <w:rPr>
          <w:b/>
          <w:bCs/>
        </w:rPr>
        <w:t>That’s our track record.</w:t>
      </w:r>
      <w:r>
        <w:t xml:space="preserve"> Same team from strategy to production. Patented safety pipeline. Model-agnostic. Compliance built in from day one. The results aren’t close.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7D37D9" w14:paraId="4A06FB9F" w14:textId="77777777">
        <w:tblPrEx>
          <w:tblCellMar>
            <w:top w:w="0" w:type="dxa"/>
            <w:bottom w:w="0" w:type="dxa"/>
          </w:tblCellMar>
        </w:tblPrEx>
        <w:tc>
          <w:tcPr>
            <w:tcW w:w="9720" w:type="dxa"/>
            <w:shd w:val="clear" w:color="auto" w:fill="1B2A4A"/>
            <w:tcMar>
              <w:top w:w="100" w:type="dxa"/>
              <w:left w:w="140" w:type="dxa"/>
              <w:bottom w:w="100" w:type="dxa"/>
              <w:right w:w="140" w:type="dxa"/>
            </w:tcMar>
            <w:vAlign w:val="center"/>
          </w:tcPr>
          <w:p w14:paraId="7DAFEE9C" w14:textId="77777777" w:rsidR="007D37D9" w:rsidRDefault="00000000">
            <w:pPr>
              <w:spacing w:after="80"/>
            </w:pPr>
            <w:r>
              <w:rPr>
                <w:b/>
                <w:bCs/>
                <w:color w:val="FFFFFF"/>
                <w:sz w:val="24"/>
                <w:szCs w:val="24"/>
              </w:rPr>
              <w:t>BOTTOM LINE</w:t>
            </w:r>
          </w:p>
          <w:p w14:paraId="6161DBAB" w14:textId="37A99C49" w:rsidR="007D37D9" w:rsidRDefault="00000000">
            <w:pPr>
              <w:spacing w:after="80"/>
            </w:pPr>
            <w:r>
              <w:rPr>
                <w:color w:val="FFFFFF"/>
                <w:sz w:val="21"/>
                <w:szCs w:val="21"/>
              </w:rPr>
              <w:t xml:space="preserve">Cognizant, Persistent, and Accenture will bill you for months to scope what we deliver in weeks. They’ll resell you somebody else’s models on somebody else’s infrastructure with zero proprietary safety or evaluation tooling. Then when it’s time to </w:t>
            </w:r>
            <w:r w:rsidR="007D1CB8">
              <w:rPr>
                <w:color w:val="FFFFFF"/>
                <w:sz w:val="21"/>
                <w:szCs w:val="21"/>
              </w:rPr>
              <w:t>build</w:t>
            </w:r>
            <w:r>
              <w:rPr>
                <w:color w:val="FFFFFF"/>
                <w:sz w:val="21"/>
                <w:szCs w:val="21"/>
              </w:rPr>
              <w:t xml:space="preserve"> the hard part — they’ll call a firm like ours.</w:t>
            </w:r>
          </w:p>
          <w:p w14:paraId="023518D9" w14:textId="477AA27A" w:rsidR="007D37D9" w:rsidRDefault="00000000">
            <w:r>
              <w:rPr>
                <w:b/>
                <w:bCs/>
                <w:color w:val="FFFFFF"/>
                <w:sz w:val="21"/>
                <w:szCs w:val="21"/>
              </w:rPr>
              <w:t>Skip the middleman. Come to the source. We’re the only firm in this market with a patented AI safety pipeline, full lifecycle ownership, and a 95% success rate.</w:t>
            </w:r>
          </w:p>
        </w:tc>
      </w:tr>
    </w:tbl>
    <w:p w14:paraId="08EFE4D9" w14:textId="77777777" w:rsidR="007D37D9" w:rsidRDefault="00000000">
      <w:pPr>
        <w:spacing w:before="70"/>
        <w:jc w:val="center"/>
      </w:pPr>
      <w:r>
        <w:rPr>
          <w:b/>
          <w:bCs/>
          <w:color w:val="2E74B5"/>
          <w:sz w:val="19"/>
          <w:szCs w:val="19"/>
        </w:rPr>
        <w:t>overture-systems.com/contact  |  brian.frerichs@osscontact.com</w:t>
      </w:r>
    </w:p>
    <w:p w14:paraId="762B1A64" w14:textId="77777777" w:rsidR="007D37D9" w:rsidRDefault="00000000">
      <w:pPr>
        <w:spacing w:before="30"/>
        <w:jc w:val="center"/>
      </w:pPr>
      <w:r>
        <w:rPr>
          <w:color w:val="999999"/>
          <w:sz w:val="15"/>
          <w:szCs w:val="15"/>
        </w:rPr>
        <w:t>Sources: AllAboutAI (2025) • Forrester (2025) • S&amp;P Global (2025) • MIT/RAND • McKinsey (2025) • Gartner (2025) • IBM (2025) • EU AI Act Art. 99</w:t>
      </w:r>
    </w:p>
    <w:sectPr w:rsidR="007D37D9">
      <w:headerReference w:type="default" r:id="rId7"/>
      <w:footerReference w:type="default" r:id="rId8"/>
      <w:pgSz w:w="12240" w:h="15840"/>
      <w:pgMar w:top="860" w:right="1260" w:bottom="8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8E85" w14:textId="77777777" w:rsidR="00A0266A" w:rsidRDefault="00A0266A">
      <w:r>
        <w:separator/>
      </w:r>
    </w:p>
  </w:endnote>
  <w:endnote w:type="continuationSeparator" w:id="0">
    <w:p w14:paraId="5C60B3E0" w14:textId="77777777" w:rsidR="00A0266A" w:rsidRDefault="00A0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9FF64" w14:textId="77777777" w:rsidR="007D37D9" w:rsidRDefault="00000000">
    <w:pPr>
      <w:jc w:val="center"/>
    </w:pPr>
    <w:r>
      <w:rPr>
        <w:color w:val="999999"/>
        <w:sz w:val="16"/>
        <w:szCs w:val="16"/>
      </w:rPr>
      <w:t>Overture Software Solutions  |  brian.frerichs@osscontact.com  |  overture-systems.com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EEC6C" w14:textId="77777777" w:rsidR="00A0266A" w:rsidRDefault="00A0266A">
      <w:r>
        <w:separator/>
      </w:r>
    </w:p>
  </w:footnote>
  <w:footnote w:type="continuationSeparator" w:id="0">
    <w:p w14:paraId="0DD57BE5" w14:textId="77777777" w:rsidR="00A0266A" w:rsidRDefault="00A02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93CE" w14:textId="77777777" w:rsidR="007D37D9" w:rsidRDefault="00000000">
    <w:pPr>
      <w:jc w:val="right"/>
    </w:pPr>
    <w:r>
      <w:rPr>
        <w:i/>
        <w:iCs/>
        <w:color w:val="999999"/>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00E4A"/>
    <w:multiLevelType w:val="hybridMultilevel"/>
    <w:tmpl w:val="2B2A4054"/>
    <w:lvl w:ilvl="0" w:tplc="37E84B02">
      <w:start w:val="1"/>
      <w:numFmt w:val="bullet"/>
      <w:lvlText w:val="●"/>
      <w:lvlJc w:val="left"/>
      <w:pPr>
        <w:ind w:left="720" w:hanging="360"/>
      </w:pPr>
    </w:lvl>
    <w:lvl w:ilvl="1" w:tplc="00DC43FC">
      <w:start w:val="1"/>
      <w:numFmt w:val="bullet"/>
      <w:lvlText w:val="○"/>
      <w:lvlJc w:val="left"/>
      <w:pPr>
        <w:ind w:left="1440" w:hanging="360"/>
      </w:pPr>
    </w:lvl>
    <w:lvl w:ilvl="2" w:tplc="70608C32">
      <w:start w:val="1"/>
      <w:numFmt w:val="bullet"/>
      <w:lvlText w:val="■"/>
      <w:lvlJc w:val="left"/>
      <w:pPr>
        <w:ind w:left="2160" w:hanging="360"/>
      </w:pPr>
    </w:lvl>
    <w:lvl w:ilvl="3" w:tplc="F06E6C08">
      <w:start w:val="1"/>
      <w:numFmt w:val="bullet"/>
      <w:lvlText w:val="●"/>
      <w:lvlJc w:val="left"/>
      <w:pPr>
        <w:ind w:left="2880" w:hanging="360"/>
      </w:pPr>
    </w:lvl>
    <w:lvl w:ilvl="4" w:tplc="E6CE2D76">
      <w:start w:val="1"/>
      <w:numFmt w:val="bullet"/>
      <w:lvlText w:val="○"/>
      <w:lvlJc w:val="left"/>
      <w:pPr>
        <w:ind w:left="3600" w:hanging="360"/>
      </w:pPr>
    </w:lvl>
    <w:lvl w:ilvl="5" w:tplc="5DBC83A4">
      <w:start w:val="1"/>
      <w:numFmt w:val="bullet"/>
      <w:lvlText w:val="■"/>
      <w:lvlJc w:val="left"/>
      <w:pPr>
        <w:ind w:left="4320" w:hanging="360"/>
      </w:pPr>
    </w:lvl>
    <w:lvl w:ilvl="6" w:tplc="98BE2910">
      <w:start w:val="1"/>
      <w:numFmt w:val="bullet"/>
      <w:lvlText w:val="●"/>
      <w:lvlJc w:val="left"/>
      <w:pPr>
        <w:ind w:left="5040" w:hanging="360"/>
      </w:pPr>
    </w:lvl>
    <w:lvl w:ilvl="7" w:tplc="D8248FDA">
      <w:start w:val="1"/>
      <w:numFmt w:val="bullet"/>
      <w:lvlText w:val="●"/>
      <w:lvlJc w:val="left"/>
      <w:pPr>
        <w:ind w:left="5760" w:hanging="360"/>
      </w:pPr>
    </w:lvl>
    <w:lvl w:ilvl="8" w:tplc="0012013A">
      <w:start w:val="1"/>
      <w:numFmt w:val="bullet"/>
      <w:lvlText w:val="●"/>
      <w:lvlJc w:val="left"/>
      <w:pPr>
        <w:ind w:left="6480" w:hanging="360"/>
      </w:pPr>
    </w:lvl>
  </w:abstractNum>
  <w:num w:numId="1" w16cid:durableId="2102680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D9"/>
    <w:rsid w:val="000F524B"/>
    <w:rsid w:val="007D1CB8"/>
    <w:rsid w:val="007D37D9"/>
    <w:rsid w:val="00A026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F4C7"/>
  <w15:docId w15:val="{ADDBB592-88A3-43D8-8714-FDA52B17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00"/>
      <w:outlineLvl w:val="0"/>
    </w:pPr>
    <w:rPr>
      <w:b/>
      <w:bCs/>
      <w:color w:val="1B2A4A"/>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814</Words>
  <Characters>4255</Characters>
  <Application>Microsoft Office Word</Application>
  <DocSecurity>0</DocSecurity>
  <Lines>121</Lines>
  <Paragraphs>61</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Jordan Martens</cp:lastModifiedBy>
  <cp:revision>2</cp:revision>
  <dcterms:created xsi:type="dcterms:W3CDTF">2026-02-13T12:20:00Z</dcterms:created>
  <dcterms:modified xsi:type="dcterms:W3CDTF">2026-02-13T12:27:00Z</dcterms:modified>
</cp:coreProperties>
</file>