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"/>
      </w:pPr>
      <w:r>
        <w:rPr>
          <w:rFonts w:ascii="Arial" w:cs="Arial" w:eastAsia="Arial" w:hAnsi="Arial"/>
          <w:b/>
          <w:bCs/>
          <w:color w:val="3730A3"/>
          <w:sz w:val="32"/>
          <w:szCs w:val="32"/>
        </w:rPr>
        <w:t xml:space="preserve">Why ICDU? Executive Summary</w:t>
      </w:r>
    </w:p>
    <w:p>
      <w:pPr>
        <w:spacing w:before="0" w:after="16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The two reasons AI needs structured evaluation — and proof it works</w:t>
      </w:r>
    </w:p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TWO REASONS ICDU IS BETTER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3730A3" w:sz="1"/>
              <w:left w:val="single" w:color="3730A3" w:sz="6"/>
              <w:bottom w:val="single" w:color="3730A3" w:sz="1"/>
              <w:right w:val="single" w:color="D1D5DB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3730A3"/>
                <w:sz w:val="17"/>
                <w:szCs w:val="17"/>
              </w:rPr>
              <w:t xml:space="preserve">1. It catches failures before deployment</w:t>
            </w:r>
          </w:p>
          <w:p>
            <w:pPr>
              <w:spacing w:before="0" w:after="0" w:line="240"/>
            </w:pPr>
            <w:r>
              <w:rPr>
                <w:rFonts w:ascii="Arial" w:cs="Arial" w:eastAsia="Arial" w:hAnsi="Arial"/>
                <w:color w:val="1F2937"/>
                <w:sz w:val="15"/>
                <w:szCs w:val="15"/>
              </w:rPr>
              <w:t xml:space="preserve">Standard AI ships with no evaluation gate. ICDU encodes </w:t>
            </w:r>
            <w:r>
              <w:rPr>
                <w:rFonts w:ascii="Arial" w:cs="Arial" w:eastAsia="Arial" w:hAnsi="Arial"/>
                <w:i/>
                <w:iCs/>
                <w:color w:val="1F2937"/>
                <w:sz w:val="15"/>
                <w:szCs w:val="15"/>
              </w:rPr>
              <w:t xml:space="preserve">what the model should do</w:t>
            </w:r>
            <w:r>
              <w:rPr>
                <w:rFonts w:ascii="Arial" w:cs="Arial" w:eastAsia="Arial" w:hAnsi="Arial"/>
                <w:color w:val="1F2937"/>
                <w:sz w:val="15"/>
                <w:szCs w:val="15"/>
              </w:rPr>
              <w:t xml:space="preserve"> (intent + principles) and an </w:t>
            </w: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Judge</w:t>
            </w:r>
            <w:r>
              <w:rPr>
                <w:rFonts w:ascii="Arial" w:cs="Arial" w:eastAsia="Arial" w:hAnsi="Arial"/>
                <w:color w:val="1F2937"/>
                <w:sz w:val="15"/>
                <w:szCs w:val="15"/>
              </w:rPr>
              <w:t xml:space="preserve"> blocks outputs that don’t meet thresholds. Nothing unsafe reaches production.</w:t>
            </w:r>
          </w:p>
        </w:tc>
        <w:tc>
          <w:tcPr>
            <w:tcW w:type="dxa" w:w="5040"/>
            <w:tcBorders>
              <w:top w:val="single" w:color="3730A3" w:sz="1"/>
              <w:left w:val="single" w:color="D1D5DB" w:sz="1"/>
              <w:bottom w:val="single" w:color="3730A3" w:sz="1"/>
              <w:right w:val="single" w:color="3730A3" w:sz="6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3730A3"/>
                <w:sz w:val="17"/>
                <w:szCs w:val="17"/>
              </w:rPr>
              <w:t xml:space="preserve">2. Every decision is auditable</w:t>
            </w:r>
          </w:p>
          <w:p>
            <w:pPr>
              <w:spacing w:before="0" w:after="0" w:line="240"/>
            </w:pPr>
            <w:r>
              <w:rPr>
                <w:rFonts w:ascii="Arial" w:cs="Arial" w:eastAsia="Arial" w:hAnsi="Arial"/>
                <w:color w:val="1F2937"/>
                <w:sz w:val="15"/>
                <w:szCs w:val="15"/>
              </w:rPr>
              <w:t xml:space="preserve">Standard benchmarks produce aggregate scores with no paper trail. ICDU links every output to a </w:t>
            </w: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structured record → score → gate decision → audit log</w:t>
            </w:r>
            <w:r>
              <w:rPr>
                <w:rFonts w:ascii="Arial" w:cs="Arial" w:eastAsia="Arial" w:hAnsi="Arial"/>
                <w:color w:val="1F2937"/>
                <w:sz w:val="15"/>
                <w:szCs w:val="15"/>
              </w:rPr>
              <w:t xml:space="preserve">. When regulators or clients ask “why did the AI do that?” — you have the answer.</w:t>
            </w:r>
          </w:p>
        </w:tc>
      </w:tr>
    </w:tbl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PROOF: AI WITH ICDU vs. WITHOUT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4748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WITHOUT ICDU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5966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WITH ICDU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Hallucination cost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$67.4B global losses in 2024; ~$14,200/employee/yr in manual verification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AI Judge gates catch misaligned outputs before users see them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Project failure rate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70–85% of AI projects fail (MIT/RAND); 42% of companies abandoned initiatives in 2025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Structured evaluation surfaces failure modes early; only passing models promote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Regulatory readiness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EU AI Act: up to €35M or 7% of global turnover per violation; US state laws ramping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Built-in audit trails + governance IDs satisfy traceability requirements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Stability under variation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39% of customer service bots pulled back in 2024 due to hallucination errors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Stress Engine tests role, tone, and channel perturbations at scale before launch</w:t>
            </w:r>
          </w:p>
        </w:tc>
      </w:tr>
    </w:tbl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WHO SHOULD USE IT — AND WHEN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5966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TRAIN WITH ICDU WHEN…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4748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STANDARD EVAL IS FINE WHEN…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Deploying AI in regulated industries (healthcare, finance, legal, education)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Running internal research or experimentation with no production exposure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Outputs carry liability, reputational, or safety risk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Low-stakes content generation (brainstorming, summaries, drafts)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Clients or regulators require audit trails and traceability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No compliance, audit, or governance requirements apply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AI interacts with customers, patients, or end users at scale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Outputs are always human-reviewed before external use</w:t>
            </w:r>
          </w:p>
        </w:tc>
      </w:tr>
    </w:tbl>
    <w:p>
      <w:pPr>
        <w:spacing w:before="140" w:after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E185D" w:sz="1"/>
              <w:left w:val="single" w:color="BE185D" w:sz="6"/>
              <w:bottom w:val="single" w:color="BE185D" w:sz="1"/>
              <w:right w:val="single" w:color="BE185D" w:sz="1"/>
            </w:tcBorders>
            <w:shd w:fill="FFF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60"/>
            </w:pPr>
            <w:r>
              <w:rPr>
                <w:rFonts w:ascii="Arial" w:cs="Arial" w:eastAsia="Arial" w:hAnsi="Arial"/>
                <w:b/>
                <w:bCs/>
                <w:color w:val="BE185D"/>
                <w:sz w:val="18"/>
                <w:szCs w:val="18"/>
              </w:rPr>
              <w:t xml:space="preserve">ICDU doesn’t replace your model. It makes your model deployable.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 Structured intent, hard gates, human nuance scoring, and stress testing — the four things standing between a capable model and a safe product.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680" w:right="1080" w:bottom="5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3"/>
        <w:szCs w:val="13"/>
      </w:rPr>
      <w:t xml:space="preserve">Overture Systems  |  bcfrerichs@gmail.com  |  Patent Pending (US Non-Provisional Filed)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6B7280"/>
        <w:sz w:val="13"/>
        <w:szCs w:val="13"/>
      </w:rPr>
      <w:t xml:space="preserve">ICDU PIPELINE</w:t>
    </w:r>
    <w:r>
      <w:rPr>
        <w:rFonts w:ascii="Arial" w:cs="Arial" w:eastAsia="Arial" w:hAnsi="Arial"/>
        <w:color w:val="D1D5DB"/>
        <w:sz w:val="13"/>
        <w:szCs w:val="13"/>
      </w:rPr>
      <w:t xml:space="preserve">  |  </w:t>
    </w:r>
    <w:r>
      <w:rPr>
        <w:rFonts w:ascii="Arial" w:cs="Arial" w:eastAsia="Arial" w:hAnsi="Arial"/>
        <w:color w:val="6B7280"/>
        <w:sz w:val="13"/>
        <w:szCs w:val="13"/>
      </w:rPr>
      <w:t xml:space="preserve">PATENT PENDING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60"/>
      <w:outlineLvl w:val="0"/>
    </w:pPr>
    <w:rPr>
      <w:rFonts w:ascii="Arial" w:cs="Arial" w:eastAsia="Arial" w:hAnsi="Arial"/>
      <w:b/>
      <w:bCs/>
      <w:color w:val="3730A3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2026-02-10T10:47:27.901Z</dcterms:created>
  <dcterms:modified xsi:type="dcterms:W3CDTF">2026-02-10T10:47:27.902Z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