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0" w:after="40"/>
      </w:pPr>
      <w:r>
        <w:rPr>
          <w:rFonts w:ascii="Arial" w:cs="Arial" w:eastAsia="Arial" w:hAnsi="Arial"/>
          <w:b/>
          <w:bCs/>
          <w:color w:val="3730A3"/>
          <w:sz w:val="32"/>
          <w:szCs w:val="32"/>
        </w:rPr>
        <w:t xml:space="preserve">ICDU Pipeline: Executive Quick Hits</w:t>
      </w:r>
    </w:p>
    <w:p>
      <w:pPr>
        <w:spacing w:before="0" w:after="160"/>
      </w:pPr>
      <w:r>
        <w:rPr>
          <w:rFonts w:ascii="Arial" w:cs="Arial" w:eastAsia="Arial" w:hAnsi="Arial"/>
          <w:color w:val="6B7280"/>
          <w:sz w:val="18"/>
          <w:szCs w:val="18"/>
        </w:rPr>
        <w:t xml:space="preserve">What it is, why it matters, and what inaction costs</w:t>
      </w:r>
    </w:p>
    <w:p>
      <w:pPr>
        <w:spacing w:before="220" w:after="80"/>
      </w:pPr>
      <w:r>
        <w:rPr>
          <w:rFonts w:ascii="Arial" w:cs="Arial" w:eastAsia="Arial" w:hAnsi="Arial"/>
          <w:b/>
          <w:bCs/>
          <w:color w:val="3730A3"/>
          <w:sz w:val="20"/>
          <w:szCs w:val="20"/>
        </w:rPr>
        <w:t xml:space="preserve">WHAT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80"/>
      </w:tblGrid>
      <w:tr>
        <w:tc>
          <w:tcPr>
            <w:tcW w:type="dxa" w:w="10080"/>
            <w:tcBorders>
              <w:top w:val="single" w:color="3730A3" w:sz="1"/>
              <w:left w:val="single" w:color="3730A3" w:sz="6"/>
              <w:bottom w:val="single" w:color="3730A3" w:sz="1"/>
              <w:right w:val="single" w:color="3730A3" w:sz="1"/>
            </w:tcBorders>
            <w:shd w:fill="EEF2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before="0" w:after="40"/>
            </w:pPr>
            <w:r>
              <w:rPr>
                <w:rFonts w:ascii="Arial" w:cs="Arial" w:eastAsia="Arial" w:hAnsi="Arial"/>
                <w:b/>
                <w:bCs/>
                <w:color w:val="3730A3"/>
                <w:sz w:val="17"/>
                <w:szCs w:val="17"/>
              </w:rPr>
              <w:t xml:space="preserve"/>
            </w:r>
          </w:p>
          <w:p>
            <w:pPr>
              <w:spacing w:before="0" w:after="0" w:line="260"/>
            </w:pPr>
            <w:r>
              <w:rPr>
                <w:rFonts w:ascii="Arial" w:cs="Arial" w:eastAsia="Arial" w:hAnsi="Arial"/>
                <w:b/>
                <w:bCs/>
                <w:color w:val="1F2937"/>
                <w:sz w:val="16"/>
                <w:szCs w:val="16"/>
              </w:rPr>
              <w:t xml:space="preserve">ICDU (Intent-Conscious Data Unit)</w:t>
            </w:r>
            <w:r>
              <w:rPr>
                <w:rFonts w:ascii="Arial" w:cs="Arial" w:eastAsia="Arial" w:hAnsi="Arial"/>
                <w:color w:val="1F2937"/>
                <w:sz w:val="16"/>
                <w:szCs w:val="16"/>
              </w:rPr>
              <w:t xml:space="preserve"> is a patented AI safety and evaluation pipeline with four components: a structured data format that encodes intent, principles, and context per scenario; an </w:t>
            </w:r>
            <w:r>
              <w:rPr>
                <w:rFonts w:ascii="Arial" w:cs="Arial" w:eastAsia="Arial" w:hAnsi="Arial"/>
                <w:b/>
                <w:bCs/>
                <w:color w:val="1F2937"/>
                <w:sz w:val="16"/>
                <w:szCs w:val="16"/>
              </w:rPr>
              <w:t xml:space="preserve">AI Judge</w:t>
            </w:r>
            <w:r>
              <w:rPr>
                <w:rFonts w:ascii="Arial" w:cs="Arial" w:eastAsia="Arial" w:hAnsi="Arial"/>
                <w:color w:val="1F2937"/>
                <w:sz w:val="16"/>
                <w:szCs w:val="16"/>
              </w:rPr>
              <w:t xml:space="preserve"> that gates outputs before deployment; a </w:t>
            </w:r>
            <w:r>
              <w:rPr>
                <w:rFonts w:ascii="Arial" w:cs="Arial" w:eastAsia="Arial" w:hAnsi="Arial"/>
                <w:b/>
                <w:bCs/>
                <w:color w:val="1F2937"/>
                <w:sz w:val="16"/>
                <w:szCs w:val="16"/>
              </w:rPr>
              <w:t xml:space="preserve">HITL Nuance Grader</w:t>
            </w:r>
            <w:r>
              <w:rPr>
                <w:rFonts w:ascii="Arial" w:cs="Arial" w:eastAsia="Arial" w:hAnsi="Arial"/>
                <w:color w:val="1F2937"/>
                <w:sz w:val="16"/>
                <w:szCs w:val="16"/>
              </w:rPr>
              <w:t xml:space="preserve"> for human-scored quality; and a </w:t>
            </w:r>
            <w:r>
              <w:rPr>
                <w:rFonts w:ascii="Arial" w:cs="Arial" w:eastAsia="Arial" w:hAnsi="Arial"/>
                <w:b/>
                <w:bCs/>
                <w:color w:val="1F2937"/>
                <w:sz w:val="16"/>
                <w:szCs w:val="16"/>
              </w:rPr>
              <w:t xml:space="preserve">Stress Engine</w:t>
            </w:r>
            <w:r>
              <w:rPr>
                <w:rFonts w:ascii="Arial" w:cs="Arial" w:eastAsia="Arial" w:hAnsi="Arial"/>
                <w:color w:val="1F2937"/>
                <w:sz w:val="16"/>
                <w:szCs w:val="16"/>
              </w:rPr>
              <w:t xml:space="preserve"> that tests stability across controlled perturbations.</w:t>
            </w:r>
          </w:p>
        </w:tc>
      </w:tr>
    </w:tbl>
    <w:p>
      <w:pPr>
        <w:spacing w:before="220" w:after="80"/>
      </w:pPr>
      <w:r>
        <w:rPr>
          <w:rFonts w:ascii="Arial" w:cs="Arial" w:eastAsia="Arial" w:hAnsi="Arial"/>
          <w:b/>
          <w:bCs/>
          <w:color w:val="3730A3"/>
          <w:sz w:val="20"/>
          <w:szCs w:val="20"/>
        </w:rPr>
        <w:t xml:space="preserve">WHY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20"/>
        <w:gridCol w:w="2520"/>
        <w:gridCol w:w="2520"/>
        <w:gridCol w:w="2520"/>
      </w:tblGrid>
      <w:tr>
        <w:tc>
          <w:tcPr>
            <w:tcW w:type="dxa" w:w="252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EF2F2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color w:val="DC2626"/>
                <w:sz w:val="26"/>
                <w:szCs w:val="26"/>
              </w:rPr>
              <w:t xml:space="preserve">$67.4B</w:t>
            </w:r>
          </w:p>
          <w:p>
            <w:pPr>
              <w:spacing w:before="20" w:after="0"/>
              <w:jc w:val="center"/>
            </w:pPr>
            <w:r>
              <w:rPr>
                <w:rFonts w:ascii="Arial" w:cs="Arial" w:eastAsia="Arial" w:hAnsi="Arial"/>
                <w:color w:val="1F2937"/>
                <w:sz w:val="13"/>
                <w:szCs w:val="13"/>
              </w:rPr>
              <w:t xml:space="preserve">lost to AI hallucinations in 2024</w:t>
            </w:r>
          </w:p>
        </w:tc>
        <w:tc>
          <w:tcPr>
            <w:tcW w:type="dxa" w:w="252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EF2F2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color w:val="DC2626"/>
                <w:sz w:val="26"/>
                <w:szCs w:val="26"/>
              </w:rPr>
              <w:t xml:space="preserve">70–85%</w:t>
            </w:r>
          </w:p>
          <w:p>
            <w:pPr>
              <w:spacing w:before="20" w:after="0"/>
              <w:jc w:val="center"/>
            </w:pPr>
            <w:r>
              <w:rPr>
                <w:rFonts w:ascii="Arial" w:cs="Arial" w:eastAsia="Arial" w:hAnsi="Arial"/>
                <w:color w:val="1F2937"/>
                <w:sz w:val="13"/>
                <w:szCs w:val="13"/>
              </w:rPr>
              <w:t xml:space="preserve">of AI projects fail to meet outcomes</w:t>
            </w:r>
          </w:p>
        </w:tc>
        <w:tc>
          <w:tcPr>
            <w:tcW w:type="dxa" w:w="252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BEB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color w:val="D97706"/>
                <w:sz w:val="26"/>
                <w:szCs w:val="26"/>
              </w:rPr>
              <w:t xml:space="preserve">€35M</w:t>
            </w:r>
          </w:p>
          <w:p>
            <w:pPr>
              <w:spacing w:before="20" w:after="0"/>
              <w:jc w:val="center"/>
            </w:pPr>
            <w:r>
              <w:rPr>
                <w:rFonts w:ascii="Arial" w:cs="Arial" w:eastAsia="Arial" w:hAnsi="Arial"/>
                <w:color w:val="1F2937"/>
                <w:sz w:val="13"/>
                <w:szCs w:val="13"/>
              </w:rPr>
              <w:t xml:space="preserve">max EU AI Act fine per violation</w:t>
            </w:r>
          </w:p>
        </w:tc>
        <w:tc>
          <w:tcPr>
            <w:tcW w:type="dxa" w:w="252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BEB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color w:val="D97706"/>
                <w:sz w:val="26"/>
                <w:szCs w:val="26"/>
              </w:rPr>
              <w:t xml:space="preserve">$10B+</w:t>
            </w:r>
          </w:p>
          <w:p>
            <w:pPr>
              <w:spacing w:before="20" w:after="0"/>
              <w:jc w:val="center"/>
            </w:pPr>
            <w:r>
              <w:rPr>
                <w:rFonts w:ascii="Arial" w:cs="Arial" w:eastAsia="Arial" w:hAnsi="Arial"/>
                <w:color w:val="1F2937"/>
                <w:sz w:val="13"/>
                <w:szCs w:val="13"/>
              </w:rPr>
              <w:t xml:space="preserve">projected remediation costs by mid-2026 (Gartner)</w:t>
            </w:r>
          </w:p>
        </w:tc>
      </w:tr>
    </w:tbl>
    <w:p>
      <w:pPr>
        <w:spacing w:before="80" w:after="0"/>
      </w:pP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80"/>
      </w:tblGrid>
      <w:tr>
        <w:tc>
          <w:tcPr>
            <w:tcW w:type="dxa" w:w="10080"/>
            <w:tcBorders>
              <w:top w:val="single" w:color="64748B" w:sz="1"/>
              <w:left w:val="single" w:color="64748B" w:sz="6"/>
              <w:bottom w:val="single" w:color="64748B" w:sz="1"/>
              <w:right w:val="single" w:color="64748B" w:sz="1"/>
            </w:tcBorders>
            <w:shd w:fill="F3F4F6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before="0" w:after="40"/>
            </w:pPr>
            <w:r>
              <w:rPr>
                <w:rFonts w:ascii="Arial" w:cs="Arial" w:eastAsia="Arial" w:hAnsi="Arial"/>
                <w:b/>
                <w:bCs/>
                <w:color w:val="1F2937"/>
                <w:sz w:val="17"/>
                <w:szCs w:val="17"/>
              </w:rPr>
              <w:t xml:space="preserve">The gap</w:t>
            </w:r>
          </w:p>
          <w:p>
            <w:pPr>
              <w:spacing w:before="0" w:after="0" w:line="260"/>
            </w:pPr>
            <w:r>
              <w:rPr>
                <w:rFonts w:ascii="Arial" w:cs="Arial" w:eastAsia="Arial" w:hAnsi="Arial"/>
                <w:color w:val="1F2937"/>
                <w:sz w:val="16"/>
                <w:szCs w:val="16"/>
              </w:rPr>
              <w:t xml:space="preserve">Standard benchmarks (MMLU, HumanEval) tell you a model is capable. They don’t tell you it’s safe, aligned to intent, or stable under real-world variation. </w:t>
            </w:r>
            <w:r>
              <w:rPr>
                <w:rFonts w:ascii="Arial" w:cs="Arial" w:eastAsia="Arial" w:hAnsi="Arial"/>
                <w:b/>
                <w:bCs/>
                <w:color w:val="1F2937"/>
                <w:sz w:val="16"/>
                <w:szCs w:val="16"/>
              </w:rPr>
              <w:t xml:space="preserve">That’s the gap where failures — and fines — happen.</w:t>
            </w:r>
          </w:p>
        </w:tc>
      </w:tr>
    </w:tbl>
    <w:p>
      <w:pPr>
        <w:spacing w:before="220" w:after="80"/>
      </w:pPr>
      <w:r>
        <w:rPr>
          <w:rFonts w:ascii="Arial" w:cs="Arial" w:eastAsia="Arial" w:hAnsi="Arial"/>
          <w:b/>
          <w:bCs/>
          <w:color w:val="3730A3"/>
          <w:sz w:val="20"/>
          <w:szCs w:val="20"/>
        </w:rPr>
        <w:t xml:space="preserve">HOW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3940"/>
        <w:gridCol w:w="3940"/>
      </w:tblGrid>
      <w:tr>
        <w:tc>
          <w:tcPr>
            <w:tcW w:type="dxa" w:w="22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3730A3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COMPONENT</w:t>
            </w:r>
          </w:p>
        </w:tc>
        <w:tc>
          <w:tcPr>
            <w:tcW w:type="dxa" w:w="394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3730A3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WHAT IT DOES</w:t>
            </w:r>
          </w:p>
        </w:tc>
        <w:tc>
          <w:tcPr>
            <w:tcW w:type="dxa" w:w="394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64748B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WHAT IT REPLACES</w:t>
            </w:r>
          </w:p>
        </w:tc>
      </w:tr>
      <w:tr>
        <w:tc>
          <w:tcPr>
            <w:tcW w:type="dxa" w:w="22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EEF2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10" w:after="10" w:line="240"/>
            </w:pPr>
            <w:r>
              <w:rPr>
                <w:rFonts w:ascii="Arial" w:cs="Arial" w:eastAsia="Arial" w:hAnsi="Arial"/>
                <w:b/>
                <w:bCs/>
                <w:color w:val="1F2937"/>
                <w:sz w:val="16"/>
                <w:szCs w:val="16"/>
              </w:rPr>
              <w:t xml:space="preserve">ICDU Record</w:t>
            </w:r>
          </w:p>
        </w:tc>
        <w:tc>
          <w:tcPr>
            <w:tcW w:type="dxa" w:w="394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10" w:after="10" w:line="240"/>
            </w:pPr>
            <w:r>
              <w:rPr>
                <w:rFonts w:ascii="Arial" w:cs="Arial" w:eastAsia="Arial" w:hAnsi="Arial"/>
                <w:color w:val="1F2937"/>
                <w:sz w:val="16"/>
                <w:szCs w:val="16"/>
              </w:rPr>
              <w:t xml:space="preserve">Encodes intent, principles, persona, context per scenario</w:t>
            </w:r>
          </w:p>
        </w:tc>
        <w:tc>
          <w:tcPr>
            <w:tcW w:type="dxa" w:w="394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3F4F6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10" w:after="10" w:line="240"/>
            </w:pPr>
            <w:r>
              <w:rPr>
                <w:rFonts w:ascii="Arial" w:cs="Arial" w:eastAsia="Arial" w:hAnsi="Arial"/>
                <w:color w:val="1F2937"/>
                <w:sz w:val="16"/>
                <w:szCs w:val="16"/>
              </w:rPr>
              <w:t xml:space="preserve">Ad-hoc prompts with no embedded success criteria</w:t>
            </w:r>
          </w:p>
        </w:tc>
      </w:tr>
      <w:tr>
        <w:tc>
          <w:tcPr>
            <w:tcW w:type="dxa" w:w="22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EEF2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10" w:after="10" w:line="240"/>
            </w:pPr>
            <w:r>
              <w:rPr>
                <w:rFonts w:ascii="Arial" w:cs="Arial" w:eastAsia="Arial" w:hAnsi="Arial"/>
                <w:b/>
                <w:bCs/>
                <w:color w:val="1F2937"/>
                <w:sz w:val="16"/>
                <w:szCs w:val="16"/>
              </w:rPr>
              <w:t xml:space="preserve">AI Judge</w:t>
            </w:r>
          </w:p>
        </w:tc>
        <w:tc>
          <w:tcPr>
            <w:tcW w:type="dxa" w:w="394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10" w:after="10" w:line="240"/>
            </w:pPr>
            <w:r>
              <w:rPr>
                <w:rFonts w:ascii="Arial" w:cs="Arial" w:eastAsia="Arial" w:hAnsi="Arial"/>
                <w:color w:val="1F2937"/>
                <w:sz w:val="16"/>
                <w:szCs w:val="16"/>
              </w:rPr>
              <w:t xml:space="preserve">Scores intent-alignment, principle-adherence, and application; gates as promote / escalate / block</w:t>
            </w:r>
          </w:p>
        </w:tc>
        <w:tc>
          <w:tcPr>
            <w:tcW w:type="dxa" w:w="394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3F4F6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10" w:after="10" w:line="240"/>
            </w:pPr>
            <w:r>
              <w:rPr>
                <w:rFonts w:ascii="Arial" w:cs="Arial" w:eastAsia="Arial" w:hAnsi="Arial"/>
                <w:color w:val="1F2937"/>
                <w:sz w:val="16"/>
                <w:szCs w:val="16"/>
              </w:rPr>
              <w:t xml:space="preserve">Post-hoc red-teaming with no formal thresholds</w:t>
            </w:r>
          </w:p>
        </w:tc>
      </w:tr>
      <w:tr>
        <w:tc>
          <w:tcPr>
            <w:tcW w:type="dxa" w:w="22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EEF2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10" w:after="10" w:line="240"/>
            </w:pPr>
            <w:r>
              <w:rPr>
                <w:rFonts w:ascii="Arial" w:cs="Arial" w:eastAsia="Arial" w:hAnsi="Arial"/>
                <w:b/>
                <w:bCs/>
                <w:color w:val="1F2937"/>
                <w:sz w:val="16"/>
                <w:szCs w:val="16"/>
              </w:rPr>
              <w:t xml:space="preserve">HITL Grader</w:t>
            </w:r>
          </w:p>
        </w:tc>
        <w:tc>
          <w:tcPr>
            <w:tcW w:type="dxa" w:w="394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10" w:after="10" w:line="240"/>
            </w:pPr>
            <w:r>
              <w:rPr>
                <w:rFonts w:ascii="Arial" w:cs="Arial" w:eastAsia="Arial" w:hAnsi="Arial"/>
                <w:color w:val="1F2937"/>
                <w:sz w:val="16"/>
                <w:szCs w:val="16"/>
              </w:rPr>
              <w:t xml:space="preserve">Rubric-based human scoring of empathy, clarity, trust; aggregated and logged</w:t>
            </w:r>
          </w:p>
        </w:tc>
        <w:tc>
          <w:tcPr>
            <w:tcW w:type="dxa" w:w="394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3F4F6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10" w:after="10" w:line="240"/>
            </w:pPr>
            <w:r>
              <w:rPr>
                <w:rFonts w:ascii="Arial" w:cs="Arial" w:eastAsia="Arial" w:hAnsi="Arial"/>
                <w:color w:val="1F2937"/>
                <w:sz w:val="16"/>
                <w:szCs w:val="16"/>
              </w:rPr>
              <w:t xml:space="preserve">Unstructured preference rankings (Chatbot Arena)</w:t>
            </w:r>
          </w:p>
        </w:tc>
      </w:tr>
      <w:tr>
        <w:tc>
          <w:tcPr>
            <w:tcW w:type="dxa" w:w="22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EEF2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10" w:after="10" w:line="240"/>
            </w:pPr>
            <w:r>
              <w:rPr>
                <w:rFonts w:ascii="Arial" w:cs="Arial" w:eastAsia="Arial" w:hAnsi="Arial"/>
                <w:b/>
                <w:bCs/>
                <w:color w:val="1F2937"/>
                <w:sz w:val="16"/>
                <w:szCs w:val="16"/>
              </w:rPr>
              <w:t xml:space="preserve">Stress Engine</w:t>
            </w:r>
          </w:p>
        </w:tc>
        <w:tc>
          <w:tcPr>
            <w:tcW w:type="dxa" w:w="394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10" w:after="10" w:line="240"/>
            </w:pPr>
            <w:r>
              <w:rPr>
                <w:rFonts w:ascii="Arial" w:cs="Arial" w:eastAsia="Arial" w:hAnsi="Arial"/>
                <w:color w:val="1F2937"/>
                <w:sz w:val="16"/>
                <w:szCs w:val="16"/>
              </w:rPr>
              <w:t xml:space="preserve">Generates controlled variations of role, tone, constraints, channel at scale</w:t>
            </w:r>
          </w:p>
        </w:tc>
        <w:tc>
          <w:tcPr>
            <w:tcW w:type="dxa" w:w="394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3F4F6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10" w:after="10" w:line="240"/>
            </w:pPr>
            <w:r>
              <w:rPr>
                <w:rFonts w:ascii="Arial" w:cs="Arial" w:eastAsia="Arial" w:hAnsi="Arial"/>
                <w:color w:val="1F2937"/>
                <w:sz w:val="16"/>
                <w:szCs w:val="16"/>
              </w:rPr>
              <w:t xml:space="preserve">Limited jailbreak testing with no systematic coverage</w:t>
            </w:r>
          </w:p>
        </w:tc>
      </w:tr>
    </w:tbl>
    <w:p>
      <w:pPr>
        <w:spacing w:before="220" w:after="80"/>
      </w:pPr>
      <w:r>
        <w:rPr>
          <w:rFonts w:ascii="Arial" w:cs="Arial" w:eastAsia="Arial" w:hAnsi="Arial"/>
          <w:b/>
          <w:bCs/>
          <w:color w:val="3730A3"/>
          <w:sz w:val="20"/>
          <w:szCs w:val="20"/>
        </w:rPr>
        <w:t xml:space="preserve">COST OF INACTION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360"/>
        <w:gridCol w:w="3360"/>
        <w:gridCol w:w="3360"/>
      </w:tblGrid>
      <w:tr>
        <w:tc>
          <w:tcPr>
            <w:tcW w:type="dxa" w:w="336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DC2626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INCIDENT</w:t>
            </w:r>
          </w:p>
        </w:tc>
        <w:tc>
          <w:tcPr>
            <w:tcW w:type="dxa" w:w="336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DC2626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YEAR</w:t>
            </w:r>
          </w:p>
        </w:tc>
        <w:tc>
          <w:tcPr>
            <w:tcW w:type="dxa" w:w="336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DC2626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IMPACT</w:t>
            </w:r>
          </w:p>
        </w:tc>
      </w:tr>
      <w:tr>
        <w:tc>
          <w:tcPr>
            <w:tcW w:type="dxa" w:w="336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3F4F6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10" w:after="10" w:line="240"/>
            </w:pPr>
            <w:r>
              <w:rPr>
                <w:rFonts w:ascii="Arial" w:cs="Arial" w:eastAsia="Arial" w:hAnsi="Arial"/>
                <w:color w:val="1F2937"/>
                <w:sz w:val="16"/>
                <w:szCs w:val="16"/>
              </w:rPr>
              <w:t xml:space="preserve">Chatbot hallucination erases shareholder value</w:t>
            </w:r>
          </w:p>
        </w:tc>
        <w:tc>
          <w:tcPr>
            <w:tcW w:type="dxa" w:w="336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10" w:after="10" w:line="240"/>
              <w:jc w:val="center"/>
            </w:pPr>
            <w:r>
              <w:rPr>
                <w:rFonts w:ascii="Arial" w:cs="Arial" w:eastAsia="Arial" w:hAnsi="Arial"/>
                <w:color w:val="1F2937"/>
                <w:sz w:val="16"/>
                <w:szCs w:val="16"/>
              </w:rPr>
              <w:t xml:space="preserve">2024</w:t>
            </w:r>
          </w:p>
        </w:tc>
        <w:tc>
          <w:tcPr>
            <w:tcW w:type="dxa" w:w="336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E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10" w:after="10" w:line="240"/>
            </w:pPr>
            <w:r>
              <w:rPr>
                <w:rFonts w:ascii="Arial" w:cs="Arial" w:eastAsia="Arial" w:hAnsi="Arial"/>
                <w:b/>
                <w:bCs/>
                <w:color w:val="DC2626"/>
                <w:sz w:val="16"/>
                <w:szCs w:val="16"/>
              </w:rPr>
              <w:t xml:space="preserve">$100B market cap loss</w:t>
            </w:r>
          </w:p>
        </w:tc>
      </w:tr>
      <w:tr>
        <w:tc>
          <w:tcPr>
            <w:tcW w:type="dxa" w:w="336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3F4F6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10" w:after="10" w:line="240"/>
            </w:pPr>
            <w:r>
              <w:rPr>
                <w:rFonts w:ascii="Arial" w:cs="Arial" w:eastAsia="Arial" w:hAnsi="Arial"/>
                <w:color w:val="1F2937"/>
                <w:sz w:val="16"/>
                <w:szCs w:val="16"/>
              </w:rPr>
              <w:t xml:space="preserve">AI copyright class action settlement</w:t>
            </w:r>
          </w:p>
        </w:tc>
        <w:tc>
          <w:tcPr>
            <w:tcW w:type="dxa" w:w="336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10" w:after="10" w:line="240"/>
              <w:jc w:val="center"/>
            </w:pPr>
            <w:r>
              <w:rPr>
                <w:rFonts w:ascii="Arial" w:cs="Arial" w:eastAsia="Arial" w:hAnsi="Arial"/>
                <w:color w:val="1F2937"/>
                <w:sz w:val="16"/>
                <w:szCs w:val="16"/>
              </w:rPr>
              <w:t xml:space="preserve">2025</w:t>
            </w:r>
          </w:p>
        </w:tc>
        <w:tc>
          <w:tcPr>
            <w:tcW w:type="dxa" w:w="336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E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10" w:after="10" w:line="240"/>
            </w:pPr>
            <w:r>
              <w:rPr>
                <w:rFonts w:ascii="Arial" w:cs="Arial" w:eastAsia="Arial" w:hAnsi="Arial"/>
                <w:b/>
                <w:bCs/>
                <w:color w:val="DC2626"/>
                <w:sz w:val="16"/>
                <w:szCs w:val="16"/>
              </w:rPr>
              <w:t xml:space="preserve">$1.5B settlement</w:t>
            </w:r>
          </w:p>
        </w:tc>
      </w:tr>
      <w:tr>
        <w:tc>
          <w:tcPr>
            <w:tcW w:type="dxa" w:w="336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3F4F6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10" w:after="10" w:line="240"/>
            </w:pPr>
            <w:r>
              <w:rPr>
                <w:rFonts w:ascii="Arial" w:cs="Arial" w:eastAsia="Arial" w:hAnsi="Arial"/>
                <w:color w:val="1F2937"/>
                <w:sz w:val="16"/>
                <w:szCs w:val="16"/>
              </w:rPr>
              <w:t xml:space="preserve">GDPR fine for ChatGPT data breach</w:t>
            </w:r>
          </w:p>
        </w:tc>
        <w:tc>
          <w:tcPr>
            <w:tcW w:type="dxa" w:w="336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10" w:after="10" w:line="240"/>
              <w:jc w:val="center"/>
            </w:pPr>
            <w:r>
              <w:rPr>
                <w:rFonts w:ascii="Arial" w:cs="Arial" w:eastAsia="Arial" w:hAnsi="Arial"/>
                <w:color w:val="1F2937"/>
                <w:sz w:val="16"/>
                <w:szCs w:val="16"/>
              </w:rPr>
              <w:t xml:space="preserve">2024</w:t>
            </w:r>
          </w:p>
        </w:tc>
        <w:tc>
          <w:tcPr>
            <w:tcW w:type="dxa" w:w="336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E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10" w:after="10" w:line="240"/>
            </w:pPr>
            <w:r>
              <w:rPr>
                <w:rFonts w:ascii="Arial" w:cs="Arial" w:eastAsia="Arial" w:hAnsi="Arial"/>
                <w:b/>
                <w:bCs/>
                <w:color w:val="DC2626"/>
                <w:sz w:val="16"/>
                <w:szCs w:val="16"/>
              </w:rPr>
              <w:t xml:space="preserve">€15M fine</w:t>
            </w:r>
          </w:p>
        </w:tc>
      </w:tr>
      <w:tr>
        <w:tc>
          <w:tcPr>
            <w:tcW w:type="dxa" w:w="336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3F4F6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10" w:after="10" w:line="240"/>
            </w:pPr>
            <w:r>
              <w:rPr>
                <w:rFonts w:ascii="Arial" w:cs="Arial" w:eastAsia="Arial" w:hAnsi="Arial"/>
                <w:color w:val="1F2937"/>
                <w:sz w:val="16"/>
                <w:szCs w:val="16"/>
              </w:rPr>
              <w:t xml:space="preserve">Biased tenant screening AI</w:t>
            </w:r>
          </w:p>
        </w:tc>
        <w:tc>
          <w:tcPr>
            <w:tcW w:type="dxa" w:w="336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10" w:after="10" w:line="240"/>
              <w:jc w:val="center"/>
            </w:pPr>
            <w:r>
              <w:rPr>
                <w:rFonts w:ascii="Arial" w:cs="Arial" w:eastAsia="Arial" w:hAnsi="Arial"/>
                <w:color w:val="1F2937"/>
                <w:sz w:val="16"/>
                <w:szCs w:val="16"/>
              </w:rPr>
              <w:t xml:space="preserve">2024</w:t>
            </w:r>
          </w:p>
        </w:tc>
        <w:tc>
          <w:tcPr>
            <w:tcW w:type="dxa" w:w="336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E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10" w:after="10" w:line="240"/>
            </w:pPr>
            <w:r>
              <w:rPr>
                <w:rFonts w:ascii="Arial" w:cs="Arial" w:eastAsia="Arial" w:hAnsi="Arial"/>
                <w:b/>
                <w:bCs/>
                <w:color w:val="DC2626"/>
                <w:sz w:val="16"/>
                <w:szCs w:val="16"/>
              </w:rPr>
              <w:t xml:space="preserve">$2.2M + mandatory audit</w:t>
            </w:r>
          </w:p>
        </w:tc>
      </w:tr>
      <w:tr>
        <w:tc>
          <w:tcPr>
            <w:tcW w:type="dxa" w:w="336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3F4F6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10" w:after="10" w:line="240"/>
            </w:pPr>
            <w:r>
              <w:rPr>
                <w:rFonts w:ascii="Arial" w:cs="Arial" w:eastAsia="Arial" w:hAnsi="Arial"/>
                <w:color w:val="1F2937"/>
                <w:sz w:val="16"/>
                <w:szCs w:val="16"/>
              </w:rPr>
              <w:t xml:space="preserve">Per-employee hallucination mitigation cost</w:t>
            </w:r>
          </w:p>
        </w:tc>
        <w:tc>
          <w:tcPr>
            <w:tcW w:type="dxa" w:w="336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10" w:after="10" w:line="240"/>
              <w:jc w:val="center"/>
            </w:pPr>
            <w:r>
              <w:rPr>
                <w:rFonts w:ascii="Arial" w:cs="Arial" w:eastAsia="Arial" w:hAnsi="Arial"/>
                <w:color w:val="1F2937"/>
                <w:sz w:val="16"/>
                <w:szCs w:val="16"/>
              </w:rPr>
              <w:t xml:space="preserve">2025</w:t>
            </w:r>
          </w:p>
        </w:tc>
        <w:tc>
          <w:tcPr>
            <w:tcW w:type="dxa" w:w="336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E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10" w:after="10" w:line="240"/>
            </w:pPr>
            <w:r>
              <w:rPr>
                <w:rFonts w:ascii="Arial" w:cs="Arial" w:eastAsia="Arial" w:hAnsi="Arial"/>
                <w:b/>
                <w:bCs/>
                <w:color w:val="DC2626"/>
                <w:sz w:val="16"/>
                <w:szCs w:val="16"/>
              </w:rPr>
              <w:t xml:space="preserve">~$14,200/year (Forrester)</w:t>
            </w:r>
          </w:p>
        </w:tc>
      </w:tr>
    </w:tbl>
    <w:p>
      <w:pPr>
        <w:spacing w:before="140" w:after="0"/>
      </w:pP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80"/>
      </w:tblGrid>
      <w:tr>
        <w:tc>
          <w:tcPr>
            <w:tcW w:type="dxa" w:w="10080"/>
            <w:tcBorders>
              <w:top w:val="single" w:color="BE185D" w:sz="1"/>
              <w:left w:val="single" w:color="BE185D" w:sz="6"/>
              <w:bottom w:val="single" w:color="BE185D" w:sz="1"/>
              <w:right w:val="single" w:color="BE185D" w:sz="1"/>
            </w:tcBorders>
            <w:shd w:fill="FFF1F2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before="0" w:after="40"/>
            </w:pPr>
            <w:r>
              <w:rPr>
                <w:rFonts w:ascii="Arial" w:cs="Arial" w:eastAsia="Arial" w:hAnsi="Arial"/>
                <w:b/>
                <w:bCs/>
                <w:color w:val="BE185D"/>
                <w:sz w:val="17"/>
                <w:szCs w:val="17"/>
              </w:rPr>
              <w:t xml:space="preserve">BOTTOM LINE</w:t>
            </w:r>
          </w:p>
          <w:p>
            <w:pPr>
              <w:spacing w:before="0" w:after="0" w:line="260"/>
            </w:pPr>
            <w:r>
              <w:rPr>
                <w:rFonts w:ascii="Arial" w:cs="Arial" w:eastAsia="Arial" w:hAnsi="Arial"/>
                <w:i/>
                <w:iCs/>
                <w:color w:val="1F2937"/>
                <w:sz w:val="16"/>
                <w:szCs w:val="16"/>
              </w:rPr>
              <w:t xml:space="preserve">Standard evaluation asks: </w:t>
            </w:r>
            <w:r>
              <w:rPr>
                <w:rFonts w:ascii="Arial" w:cs="Arial" w:eastAsia="Arial" w:hAnsi="Arial"/>
                <w:i/>
                <w:iCs/>
                <w:color w:val="1F2937"/>
                <w:sz w:val="16"/>
                <w:szCs w:val="16"/>
              </w:rPr>
              <w:t xml:space="preserve">"Is this model capable?" </w:t>
            </w:r>
            <w:r>
              <w:rPr>
                <w:rFonts w:ascii="Arial" w:cs="Arial" w:eastAsia="Arial" w:hAnsi="Arial"/>
                <w:i/>
                <w:iCs/>
                <w:color w:val="1F2937"/>
                <w:sz w:val="16"/>
                <w:szCs w:val="16"/>
              </w:rPr>
              <w:t xml:space="preserve">ICDU asks: </w:t>
            </w:r>
            <w:r>
              <w:rPr>
                <w:rFonts w:ascii="Arial" w:cs="Arial" w:eastAsia="Arial" w:hAnsi="Arial"/>
                <w:color w:val="1F2937"/>
                <w:sz w:val="16"/>
                <w:szCs w:val="16"/>
              </w:rPr>
              <w:t xml:space="preserve">"Is it safe, aligned, and stable enough to deploy?" </w:t>
            </w:r>
            <w:r>
              <w:rPr>
                <w:rFonts w:ascii="Arial" w:cs="Arial" w:eastAsia="Arial" w:hAnsi="Arial"/>
                <w:b/>
                <w:bCs/>
                <w:color w:val="1F2937"/>
                <w:sz w:val="16"/>
                <w:szCs w:val="16"/>
              </w:rPr>
              <w:t xml:space="preserve">One question measures benchmarks. The other prevents the $67B problem.</w:t>
            </w:r>
          </w:p>
        </w:tc>
      </w:tr>
    </w:tbl>
    <w:p>
      <w:pPr>
        <w:spacing w:before="140" w:after="0" w:line="200"/>
      </w:pPr>
      <w:r>
        <w:rPr>
          <w:rFonts w:ascii="Arial" w:cs="Arial" w:eastAsia="Arial" w:hAnsi="Arial"/>
          <w:i/>
          <w:iCs/>
          <w:color w:val="6B7280"/>
          <w:sz w:val="13"/>
          <w:szCs w:val="13"/>
        </w:rPr>
        <w:t xml:space="preserve">Sources: AllAboutAI 2025, Forrester 2025, S&amp;P Global 2025, MIT/RAND, Gartner 2025, EU AI Act Art. 99, IBM AI Adoption Index 2025</w:t>
      </w:r>
    </w:p>
    <w:sectPr>
      <w:headerReference w:type="default" r:id="rId6"/>
      <w:footerReference w:type="default" r:id="rId7"/>
      <w:pgSz w:w="12240" w:h="15840" w:orient="portrait"/>
      <w:pgMar w:top="720" w:right="1080" w:bottom="600" w:left="108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Arial" w:cs="Arial" w:eastAsia="Arial" w:hAnsi="Arial"/>
        <w:color w:val="6B7280"/>
        <w:sz w:val="13"/>
        <w:szCs w:val="13"/>
      </w:rPr>
      <w:t xml:space="preserve">Patent Pending  |  Overture Systems  |  bcfrerichs@gmail.com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Arial" w:cs="Arial" w:eastAsia="Arial" w:hAnsi="Arial"/>
        <w:b/>
        <w:bCs/>
        <w:color w:val="6B7280"/>
        <w:sz w:val="13"/>
        <w:szCs w:val="13"/>
      </w:rPr>
      <w:t xml:space="preserve">ICDU PIPELINE</w:t>
    </w:r>
    <w:r>
      <w:rPr>
        <w:rFonts w:ascii="Arial" w:cs="Arial" w:eastAsia="Arial" w:hAnsi="Arial"/>
        <w:color w:val="D1D5DB"/>
        <w:sz w:val="13"/>
        <w:szCs w:val="13"/>
      </w:rPr>
      <w:t xml:space="preserve">  |  </w:t>
    </w:r>
    <w:r>
      <w:rPr>
        <w:rFonts w:ascii="Arial" w:cs="Arial" w:eastAsia="Arial" w:hAnsi="Arial"/>
        <w:color w:val="6B7280"/>
        <w:sz w:val="13"/>
        <w:szCs w:val="13"/>
      </w:rPr>
      <w:t xml:space="preserve">EXECUTIVE QUICK HITS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18"/>
        <w:szCs w:val="18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0" w:after="80"/>
      <w:outlineLvl w:val="0"/>
    </w:pPr>
    <w:rPr>
      <w:rFonts w:ascii="Arial" w:cs="Arial" w:eastAsia="Arial" w:hAnsi="Arial"/>
      <w:b/>
      <w:bCs/>
      <w:color w:val="3730A3"/>
      <w:sz w:val="32"/>
      <w:szCs w:val="32"/>
    </w:rPr>
  </w:style>
  <w:style w:type="paragraph" w:styleId="Heading2">
    <w:name w:val="Heading 2"/>
    <w:basedOn w:val="Normal"/>
    <w:next w:val="Normal"/>
    <w:qFormat/>
    <w:pPr>
      <w:spacing w:before="200" w:after="60"/>
      <w:outlineLvl w:val="1"/>
    </w:pPr>
    <w:rPr>
      <w:rFonts w:ascii="Arial" w:cs="Arial" w:eastAsia="Arial" w:hAnsi="Arial"/>
      <w:b/>
      <w:bCs/>
      <w:color w:val="3730A3"/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2026-02-10T10:42:53.586Z</dcterms:created>
  <dcterms:modified xsi:type="dcterms:W3CDTF">2026-02-10T10:42:53.587Z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