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Г.</w:t>
      </w:r>
      <w:r>
        <w:t xml:space="preserve"> </w:t>
      </w:r>
      <w:r>
        <w:t xml:space="preserve">А.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</w:t>
      </w:r>
      <w:r>
        <w:t xml:space="preserve"> </w:t>
      </w:r>
      <w:r>
        <w:t xml:space="preserve">низкого уровня. Можно считать, что он больше любых других языков приближен к архитектуре ЭВМ</w:t>
      </w:r>
      <w:r>
        <w:t xml:space="preserve"> </w:t>
      </w:r>
      <w:r>
        <w:t xml:space="preserve">и её аппаратным возможностям, что позволяет получить к ним более полный доступ,</w:t>
      </w:r>
      <w:r>
        <w:t xml:space="preserve"> </w:t>
      </w:r>
      <w:r>
        <w:t xml:space="preserve">нежели в языках высокого уровня, таких как C/C++, Perl, Python и пр.</w:t>
      </w:r>
      <w:r>
        <w:t xml:space="preserve"> </w:t>
      </w:r>
      <w:r>
        <w:t xml:space="preserve">Заметим, 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написанные на ассемблере.</w:t>
      </w:r>
      <w:r>
        <w:t xml:space="preserve"> </w:t>
      </w:r>
      <w:r>
        <w:t xml:space="preserve">Но в отличие от языков высокого уровня ассемблерная программа содержит только тот код,</w:t>
      </w:r>
      <w:r>
        <w:t xml:space="preserve"> </w:t>
      </w:r>
      <w:r>
        <w:t xml:space="preserve">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6" w:name="fig:001"/>
      <w:r>
        <w:drawing>
          <wp:inline>
            <wp:extent cx="5334000" cy="4607317"/>
            <wp:effectExtent b="0" l="0" r="0" t="0"/>
            <wp:docPr descr="Рис. 1: Файл hello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30" w:name="fig:002"/>
      <w:r>
        <w:drawing>
          <wp:inline>
            <wp:extent cx="5334000" cy="2072084"/>
            <wp:effectExtent b="0" l="0" r="0" t="0"/>
            <wp:docPr descr="Рис. 2: Работа программы hello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4" w:name="fig:003"/>
      <w:r>
        <w:drawing>
          <wp:inline>
            <wp:extent cx="5334000" cy="3834051"/>
            <wp:effectExtent b="0" l="0" r="0" t="0"/>
            <wp:docPr descr="Рис. 3: Файл lab05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lab05.asm</w:t>
      </w:r>
    </w:p>
    <w:p>
      <w:pPr>
        <w:pStyle w:val="CaptionedFigure"/>
      </w:pPr>
      <w:bookmarkStart w:id="38" w:name="fig:004"/>
      <w:r>
        <w:drawing>
          <wp:inline>
            <wp:extent cx="5334000" cy="3091110"/>
            <wp:effectExtent b="0" l="0" r="0" t="0"/>
            <wp:docPr descr="Рис. 4: Работа программы lab05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lab05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MASM, TASM, FASM, NASM под Windows и Linux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Дудырев Г. А. НПИбд-01-22</dc:creator>
  <dc:language>ru-RU</dc:language>
  <cp:keywords/>
  <dcterms:created xsi:type="dcterms:W3CDTF">2022-11-19T20:02:25Z</dcterms:created>
  <dcterms:modified xsi:type="dcterms:W3CDTF">2022-11-19T20:02:25Z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