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Supplementary Material</w:t>
      </w:r>
    </w:p>
    <w:p>
      <w:pPr>
        <w:spacing w:after="120"/>
        <w:jc w:val="center"/>
      </w:pPr>
      <w:r>
        <w:rPr>
          <w:b/>
          <w:bCs/>
          <w:sz w:val="26"/>
          <w:szCs w:val="26"/>
        </w:rPr>
        <w:t xml:space="preserve">Collective Mechanical Modes in a Minimal Model of Ion Channel Gate Dynamics</w:t>
      </w:r>
    </w:p>
    <w:p>
      <w:pPr>
        <w:spacing w:after="240"/>
        <w:jc w:val="center"/>
      </w:pPr>
      <w:r>
        <w:rPr>
          <w:sz w:val="22"/>
          <w:szCs w:val="22"/>
        </w:rPr>
        <w:t xml:space="preserve">Gady Frenkel, Lev Mourokh, Yuval Ben-Abu</w:t>
      </w:r>
    </w:p>
    <w:p>
      <w:pPr>
        <w:spacing w:after="60" w:before="160"/>
      </w:pPr>
      <w:r>
        <w:rPr>
          <w:b/>
          <w:bCs/>
          <w:sz w:val="20"/>
          <w:szCs w:val="20"/>
        </w:rPr>
        <w:t xml:space="preserve">Contents</w:t>
      </w:r>
    </w:p>
    <w:p>
      <w:pPr>
        <w:spacing w:after="40"/>
        <w:ind w:left="360"/>
      </w:pPr>
      <w:r>
        <w:t xml:space="preserve">Table S1. Equilibrium geometry and parameters of the model</w:t>
      </w:r>
    </w:p>
    <w:p>
      <w:pPr>
        <w:spacing w:after="40"/>
        <w:ind w:left="360"/>
      </w:pPr>
      <w:r>
        <w:t xml:space="preserve">Figure S1. The two zero-frequency modes (modes 1 and 2)</w:t>
      </w:r>
    </w:p>
    <w:p>
      <w:pPr>
        <w:spacing w:after="40"/>
        <w:ind w:left="360"/>
      </w:pPr>
      <w:r>
        <w:t xml:space="preserve">Table S2. Thermal rms amplitudes at 310 K, modes 3–12</w:t>
      </w:r>
    </w:p>
    <w:p>
      <w:pPr>
        <w:spacing w:after="40"/>
        <w:ind w:left="360"/>
      </w:pPr>
      <w:r>
        <w:t xml:space="preserve">Table S3. Damping of the normal modes</w:t>
      </w:r>
    </w:p>
    <w:p>
      <w:pPr>
        <w:spacing w:after="40"/>
        <w:ind w:left="360"/>
      </w:pPr>
      <w:r>
        <w:t xml:space="preserve">Table S4. Sensitivity of frequencies and mode shapes to the spring constants</w:t>
      </w:r>
    </w:p>
    <w:p>
      <w:pPr>
        <w:spacing w:after="40"/>
        <w:ind w:left="360"/>
      </w:pPr>
      <w:r>
        <w:t xml:space="preserve">Animations S1–S12. Motion of the rods in modes 1–12 (separate files; captions at the end of this document)</w:t>
      </w:r>
    </w:p>
    <w:p>
      <w:pPr>
        <w:spacing w:after="120" w:before="160"/>
      </w:pPr>
      <w:r>
        <w:t xml:space="preserve">Coordinates: </w:t>
      </w:r>
      <w:r>
        <w:rPr>
          <w:i/>
          <w:iCs/>
        </w:rPr>
        <w:t xml:space="preserve">x</w:t>
      </w:r>
      <w:r>
        <w:t xml:space="preserve"> is perpendicular to the pore axis and </w:t>
      </w:r>
      <w:r>
        <w:rPr>
          <w:i/>
          <w:iCs/>
        </w:rPr>
        <w:t xml:space="preserve">y</w:t>
      </w:r>
      <w:r>
        <w:t xml:space="preserve"> is along it, as in Fig. 1B; rod orientations </w:t>
      </w:r>
      <w:r>
        <w:rPr>
          <w:i/>
          <w:iCs/>
        </w:rPr>
        <w:t xml:space="preserve">θ</w:t>
      </w:r>
      <w:r>
        <w:t xml:space="preserve"> are measured from the </w:t>
      </w:r>
      <w:r>
        <w:rPr>
          <w:i/>
          <w:iCs/>
        </w:rPr>
        <w:t xml:space="preserve">x</w:t>
      </w:r>
      <w:r>
        <w:t xml:space="preserve"> axis. Rods 1 and 2 are the long inner rods (pore walls), rods 3 and 4 the short outer rods. Springs are numbered as in Fig. 1B. Mode numbers are those of Table 1 (modes 1 and 2 are the zero-frequency modes).</w:t>
      </w:r>
    </w:p>
    <w:p>
      <w:r>
        <w:br w:type="page"/>
      </w:r>
    </w:p>
    <w:p>
      <w:pPr>
        <w:pStyle w:val="Heading1"/>
        <w:spacing w:after="120" w:before="240"/>
      </w:pPr>
      <w:r>
        <w:t xml:space="preserve">Table S1. Equilibrium geometry and parameters of the model</w:t>
      </w:r>
    </w:p>
    <w:p>
      <w:pPr>
        <w:spacing w:after="60" w:before="160"/>
      </w:pPr>
      <w:r>
        <w:rPr>
          <w:b/>
          <w:bCs/>
          <w:sz w:val="20"/>
          <w:szCs w:val="20"/>
        </w:rPr>
        <w:t xml:space="preserve">(a) Rods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350"/>
        <w:gridCol w:w="1150"/>
        <w:gridCol w:w="950"/>
        <w:gridCol w:w="1600"/>
        <w:gridCol w:w="2088"/>
      </w:tblGrid>
      <w:tr>
        <w:trPr>
          <w:cantSplit/>
          <w:tblHeader/>
        </w:trPr>
        <w:tc>
          <w:tcPr>
            <w:tcW w:type="dxa" w:w="6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Rod</w:t>
            </w:r>
          </w:p>
        </w:tc>
        <w:tc>
          <w:tcPr>
            <w:tcW w:type="dxa" w:w="1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Role</w:t>
            </w:r>
          </w:p>
        </w:tc>
        <w:tc>
          <w:tcPr>
            <w:tcW w:type="dxa" w:w="13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Centre (</w:t>
            </w:r>
            <w:r>
              <w:rPr>
                <w:b/>
                <w:bCs/>
                <w:i/>
                <w:iCs/>
                <w:sz w:val="17"/>
                <w:szCs w:val="17"/>
              </w:rPr>
              <w:t xml:space="preserve">x</w:t>
            </w:r>
            <w:r>
              <w:rPr>
                <w:b/>
                <w:bCs/>
                <w:sz w:val="17"/>
                <w:szCs w:val="17"/>
              </w:rPr>
              <w:t xml:space="preserve">, </w:t>
            </w:r>
            <w:r>
              <w:rPr>
                <w:b/>
                <w:bCs/>
                <w:i/>
                <w:iCs/>
                <w:sz w:val="17"/>
                <w:szCs w:val="17"/>
              </w:rPr>
              <w:t xml:space="preserve">y</w:t>
            </w:r>
            <w:r>
              <w:rPr>
                <w:b/>
                <w:bCs/>
                <w:sz w:val="17"/>
                <w:szCs w:val="17"/>
              </w:rPr>
              <w:t xml:space="preserve">) (nm)</w:t>
            </w:r>
          </w:p>
        </w:tc>
        <w:tc>
          <w:tcPr>
            <w:tcW w:type="dxa" w:w="11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Orientation </w:t>
            </w:r>
            <w:r>
              <w:rPr>
                <w:b/>
                <w:bCs/>
                <w:i/>
                <w:iCs/>
                <w:sz w:val="17"/>
                <w:szCs w:val="17"/>
              </w:rPr>
              <w:t xml:space="preserve">θ</w:t>
            </w:r>
            <w:r>
              <w:rPr>
                <w:b/>
                <w:bCs/>
                <w:sz w:val="17"/>
                <w:szCs w:val="17"/>
              </w:rPr>
              <w:t xml:space="preserve"> (°)</w:t>
            </w:r>
          </w:p>
        </w:tc>
        <w:tc>
          <w:tcPr>
            <w:tcW w:type="dxa" w:w="9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Length </w:t>
            </w:r>
            <w:r>
              <w:rPr>
                <w:b/>
                <w:bCs/>
                <w:i/>
                <w:iCs/>
                <w:sz w:val="17"/>
                <w:szCs w:val="17"/>
              </w:rPr>
              <w:t xml:space="preserve">L</w:t>
            </w:r>
            <w:r>
              <w:rPr>
                <w:b/>
                <w:bCs/>
                <w:sz w:val="17"/>
                <w:szCs w:val="17"/>
              </w:rPr>
              <w:t xml:space="preserve"> (nm)</w:t>
            </w:r>
          </w:p>
        </w:tc>
        <w:tc>
          <w:tcPr>
            <w:tcW w:type="dxa" w:w="16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Mass </w:t>
            </w:r>
            <w:r>
              <w:rPr>
                <w:b/>
                <w:bCs/>
                <w:i/>
                <w:iCs/>
                <w:sz w:val="17"/>
                <w:szCs w:val="17"/>
              </w:rPr>
              <w:t xml:space="preserve">m</w:t>
            </w:r>
          </w:p>
        </w:tc>
        <w:tc>
          <w:tcPr>
            <w:tcW w:type="dxa" w:w="2088"/>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Moment of inertia </w:t>
            </w:r>
            <w:r>
              <w:rPr>
                <w:b/>
                <w:bCs/>
                <w:i/>
                <w:iCs/>
                <w:sz w:val="17"/>
                <w:szCs w:val="17"/>
              </w:rPr>
              <w:t xml:space="preserve">I</w:t>
            </w:r>
            <w:r>
              <w:rPr>
                <w:b/>
                <w:bCs/>
                <w:sz w:val="17"/>
                <w:szCs w:val="17"/>
              </w:rPr>
              <w:t xml:space="preserve"> = </w:t>
            </w:r>
            <w:r>
              <w:rPr>
                <w:b/>
                <w:bCs/>
                <w:i/>
                <w:iCs/>
                <w:sz w:val="17"/>
                <w:szCs w:val="17"/>
              </w:rPr>
              <w:t xml:space="preserve">mL</w:t>
            </w:r>
            <w:r>
              <w:rPr>
                <w:b/>
                <w:bCs/>
                <w:sz w:val="17"/>
                <w:szCs w:val="17"/>
                <w:vertAlign w:val="superscript"/>
              </w:rPr>
              <w:t xml:space="preserve">2</w:t>
            </w:r>
            <w:r>
              <w:rPr>
                <w:b/>
                <w:bCs/>
                <w:sz w:val="17"/>
                <w:szCs w:val="17"/>
              </w:rPr>
              <w:t xml:space="preserve">/12 (kg m</w:t>
            </w:r>
            <w:r>
              <w:rPr>
                <w:b/>
                <w:bCs/>
                <w:sz w:val="17"/>
                <w:szCs w:val="17"/>
                <w:vertAlign w:val="superscript"/>
              </w:rPr>
              <w:t xml:space="preserve">2</w:t>
            </w:r>
            <w:r>
              <w:rPr>
                <w:b/>
                <w:bCs/>
                <w:sz w:val="17"/>
                <w:szCs w:val="17"/>
              </w:rPr>
              <w:t xml:space="preserve">)</w:t>
            </w:r>
          </w:p>
        </w:tc>
      </w:tr>
      <w:tr>
        <w:trPr>
          <w:cantSplit/>
          <w:tblHeader w:val="off"/>
        </w:trPr>
        <w:tc>
          <w:tcPr>
            <w:tcW w:type="dxa" w:w="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inner (pore wall), left</w:t>
            </w:r>
          </w:p>
        </w:tc>
        <w:tc>
          <w:tcPr>
            <w:tcW w:type="dxa" w:w="13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 0.00)</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70.0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w:t>
            </w:r>
          </w:p>
        </w:tc>
        <w:tc>
          <w:tcPr>
            <w:tcW w:type="dxa" w:w="1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4.32×10</w:t>
            </w:r>
            <w:r>
              <w:rPr>
                <w:sz w:val="17"/>
                <w:szCs w:val="17"/>
                <w:vertAlign w:val="superscript"/>
              </w:rPr>
              <w:t xml:space="preserve">-24</w:t>
            </w:r>
            <w:r>
              <w:rPr>
                <w:sz w:val="17"/>
                <w:szCs w:val="17"/>
              </w:rPr>
              <w:t xml:space="preserve"> kg</w:t>
            </w:r>
          </w:p>
          <w:p>
            <w:pPr>
              <w:jc w:val="center"/>
            </w:pPr>
            <w:r>
              <w:rPr>
                <w:sz w:val="17"/>
                <w:szCs w:val="17"/>
              </w:rPr>
              <w:t xml:space="preserve">(2.60 kDa)</w:t>
            </w:r>
          </w:p>
        </w:tc>
        <w:tc>
          <w:tcPr>
            <w:tcW w:type="dxa" w:w="20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3.24×10</w:t>
            </w:r>
            <w:r>
              <w:rPr>
                <w:sz w:val="17"/>
                <w:szCs w:val="17"/>
                <w:vertAlign w:val="superscript"/>
              </w:rPr>
              <w:t xml:space="preserve">-42</w:t>
            </w:r>
          </w:p>
        </w:tc>
      </w:tr>
      <w:tr>
        <w:trPr>
          <w:cantSplit/>
          <w:tblHeader w:val="off"/>
        </w:trPr>
        <w:tc>
          <w:tcPr>
            <w:tcW w:type="dxa" w:w="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2</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inner (pore wall), right</w:t>
            </w:r>
          </w:p>
        </w:tc>
        <w:tc>
          <w:tcPr>
            <w:tcW w:type="dxa" w:w="13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(1.00, 0.00)</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w:t>
            </w:r>
          </w:p>
        </w:tc>
        <w:tc>
          <w:tcPr>
            <w:tcW w:type="dxa" w:w="1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4.32×10</w:t>
            </w:r>
            <w:r>
              <w:rPr>
                <w:sz w:val="17"/>
                <w:szCs w:val="17"/>
                <w:vertAlign w:val="superscript"/>
              </w:rPr>
              <w:t xml:space="preserve">-24</w:t>
            </w:r>
            <w:r>
              <w:rPr>
                <w:sz w:val="17"/>
                <w:szCs w:val="17"/>
              </w:rPr>
              <w:t xml:space="preserve"> kg</w:t>
            </w:r>
          </w:p>
          <w:p>
            <w:pPr>
              <w:jc w:val="center"/>
            </w:pPr>
            <w:r>
              <w:rPr>
                <w:sz w:val="17"/>
                <w:szCs w:val="17"/>
              </w:rPr>
              <w:t xml:space="preserve">(2.60 kDa)</w:t>
            </w:r>
          </w:p>
        </w:tc>
        <w:tc>
          <w:tcPr>
            <w:tcW w:type="dxa" w:w="20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3.24×10</w:t>
            </w:r>
            <w:r>
              <w:rPr>
                <w:sz w:val="17"/>
                <w:szCs w:val="17"/>
                <w:vertAlign w:val="superscript"/>
              </w:rPr>
              <w:t xml:space="preserve">-42</w:t>
            </w:r>
          </w:p>
        </w:tc>
      </w:tr>
      <w:tr>
        <w:trPr>
          <w:cantSplit/>
          <w:tblHeader w:val="off"/>
        </w:trPr>
        <w:tc>
          <w:tcPr>
            <w:tcW w:type="dxa" w:w="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3</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outer, left</w:t>
            </w:r>
          </w:p>
        </w:tc>
        <w:tc>
          <w:tcPr>
            <w:tcW w:type="dxa" w:w="13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 0.50)</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81.0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w:t>
            </w:r>
          </w:p>
        </w:tc>
        <w:tc>
          <w:tcPr>
            <w:tcW w:type="dxa" w:w="1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2.88×10</w:t>
            </w:r>
            <w:r>
              <w:rPr>
                <w:sz w:val="17"/>
                <w:szCs w:val="17"/>
                <w:vertAlign w:val="superscript"/>
              </w:rPr>
              <w:t xml:space="preserve">-24</w:t>
            </w:r>
            <w:r>
              <w:rPr>
                <w:sz w:val="17"/>
                <w:szCs w:val="17"/>
              </w:rPr>
              <w:t xml:space="preserve"> kg</w:t>
            </w:r>
          </w:p>
          <w:p>
            <w:pPr>
              <w:jc w:val="center"/>
            </w:pPr>
            <w:r>
              <w:rPr>
                <w:sz w:val="17"/>
                <w:szCs w:val="17"/>
              </w:rPr>
              <w:t xml:space="preserve">(1.73 kDa)</w:t>
            </w:r>
          </w:p>
        </w:tc>
        <w:tc>
          <w:tcPr>
            <w:tcW w:type="dxa" w:w="20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9.60×10</w:t>
            </w:r>
            <w:r>
              <w:rPr>
                <w:sz w:val="17"/>
                <w:szCs w:val="17"/>
                <w:vertAlign w:val="superscript"/>
              </w:rPr>
              <w:t xml:space="preserve">-43</w:t>
            </w:r>
          </w:p>
        </w:tc>
      </w:tr>
      <w:tr>
        <w:trPr>
          <w:cantSplit/>
          <w:tblHeader w:val="off"/>
        </w:trPr>
        <w:tc>
          <w:tcPr>
            <w:tcW w:type="dxa" w:w="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4</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outer, right</w:t>
            </w:r>
          </w:p>
        </w:tc>
        <w:tc>
          <w:tcPr>
            <w:tcW w:type="dxa" w:w="13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(1.10, 0.50)</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99.0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w:t>
            </w:r>
          </w:p>
        </w:tc>
        <w:tc>
          <w:tcPr>
            <w:tcW w:type="dxa" w:w="16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2.88×10</w:t>
            </w:r>
            <w:r>
              <w:rPr>
                <w:sz w:val="17"/>
                <w:szCs w:val="17"/>
                <w:vertAlign w:val="superscript"/>
              </w:rPr>
              <w:t xml:space="preserve">-24</w:t>
            </w:r>
            <w:r>
              <w:rPr>
                <w:sz w:val="17"/>
                <w:szCs w:val="17"/>
              </w:rPr>
              <w:t xml:space="preserve"> kg</w:t>
            </w:r>
          </w:p>
          <w:p>
            <w:pPr>
              <w:jc w:val="center"/>
            </w:pPr>
            <w:r>
              <w:rPr>
                <w:sz w:val="17"/>
                <w:szCs w:val="17"/>
              </w:rPr>
              <w:t xml:space="preserve">(1.73 kDa)</w:t>
            </w:r>
          </w:p>
        </w:tc>
        <w:tc>
          <w:tcPr>
            <w:tcW w:type="dxa" w:w="20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9.60×10</w:t>
            </w:r>
            <w:r>
              <w:rPr>
                <w:sz w:val="17"/>
                <w:szCs w:val="17"/>
                <w:vertAlign w:val="superscript"/>
              </w:rPr>
              <w:t xml:space="preserve">-43</w:t>
            </w:r>
          </w:p>
        </w:tc>
      </w:tr>
    </w:tbl>
    <w:p>
      <w:pPr>
        <w:spacing w:after="60" w:before="160"/>
      </w:pPr>
      <w:r>
        <w:rPr>
          <w:b/>
          <w:bCs/>
          <w:sz w:val="20"/>
          <w:szCs w:val="20"/>
        </w:rPr>
        <w:t xml:space="preserve">(b) Fixed anchoring points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tblGrid>
      <w:tr>
        <w:trPr>
          <w:cantSplit/>
          <w:tblHeader/>
        </w:trPr>
        <w:tc>
          <w:tcPr>
            <w:tcW w:type="dxa" w:w="15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Point</w:t>
            </w:r>
          </w:p>
        </w:tc>
        <w:tc>
          <w:tcPr>
            <w:tcW w:type="dxa" w:w="24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w:t>
            </w:r>
            <w:r>
              <w:rPr>
                <w:b/>
                <w:bCs/>
                <w:i/>
                <w:iCs/>
                <w:sz w:val="17"/>
                <w:szCs w:val="17"/>
              </w:rPr>
              <w:t xml:space="preserve">x</w:t>
            </w:r>
            <w:r>
              <w:rPr>
                <w:b/>
                <w:bCs/>
                <w:sz w:val="17"/>
                <w:szCs w:val="17"/>
              </w:rPr>
              <w:t xml:space="preserve">, </w:t>
            </w:r>
            <w:r>
              <w:rPr>
                <w:b/>
                <w:bCs/>
                <w:i/>
                <w:iCs/>
                <w:sz w:val="17"/>
                <w:szCs w:val="17"/>
              </w:rPr>
              <w:t xml:space="preserve">y</w:t>
            </w:r>
            <w:r>
              <w:rPr>
                <w:b/>
                <w:bCs/>
                <w:sz w:val="17"/>
                <w:szCs w:val="17"/>
              </w:rPr>
              <w:t xml:space="preserve">) (nm)</w:t>
            </w:r>
          </w:p>
        </w:tc>
        <w:tc>
          <w:tcPr>
            <w:tcW w:type="dxa" w:w="30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Attached spring</w:t>
            </w:r>
          </w:p>
        </w:tc>
      </w:tr>
      <w:tr>
        <w:trPr>
          <w:cantSplit/>
          <w:tblHeader w:val="off"/>
        </w:trPr>
        <w:tc>
          <w:tcPr>
            <w:tcW w:type="dxa" w:w="15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A1 (left)</w:t>
            </w:r>
          </w:p>
        </w:tc>
        <w:tc>
          <w:tcPr>
            <w:tcW w:type="dxa" w:w="24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(-3.0, 2.0)</w:t>
            </w:r>
          </w:p>
        </w:tc>
        <w:tc>
          <w:tcPr>
            <w:tcW w:type="dxa" w:w="30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spring 3 (rod 3)</w:t>
            </w:r>
          </w:p>
        </w:tc>
      </w:tr>
      <w:tr>
        <w:trPr>
          <w:cantSplit/>
          <w:tblHeader w:val="off"/>
        </w:trPr>
        <w:tc>
          <w:tcPr>
            <w:tcW w:type="dxa" w:w="15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A1 (right)</w:t>
            </w:r>
          </w:p>
        </w:tc>
        <w:tc>
          <w:tcPr>
            <w:tcW w:type="dxa" w:w="24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(3.0, 2.0)</w:t>
            </w:r>
          </w:p>
        </w:tc>
        <w:tc>
          <w:tcPr>
            <w:tcW w:type="dxa" w:w="30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spring 4 (rod 4)</w:t>
            </w:r>
          </w:p>
        </w:tc>
      </w:tr>
      <w:tr>
        <w:trPr>
          <w:cantSplit/>
          <w:tblHeader w:val="off"/>
        </w:trPr>
        <w:tc>
          <w:tcPr>
            <w:tcW w:type="dxa" w:w="15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A2 (left)</w:t>
            </w:r>
          </w:p>
        </w:tc>
        <w:tc>
          <w:tcPr>
            <w:tcW w:type="dxa" w:w="24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(-3.0, -2.0)</w:t>
            </w:r>
          </w:p>
        </w:tc>
        <w:tc>
          <w:tcPr>
            <w:tcW w:type="dxa" w:w="30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spring 5 (rod 1)</w:t>
            </w:r>
          </w:p>
        </w:tc>
      </w:tr>
      <w:tr>
        <w:trPr>
          <w:cantSplit/>
          <w:tblHeader w:val="off"/>
        </w:trPr>
        <w:tc>
          <w:tcPr>
            <w:tcW w:type="dxa" w:w="15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A2 (right)</w:t>
            </w:r>
          </w:p>
        </w:tc>
        <w:tc>
          <w:tcPr>
            <w:tcW w:type="dxa" w:w="24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(3.0, -2.0)</w:t>
            </w:r>
          </w:p>
        </w:tc>
        <w:tc>
          <w:tcPr>
            <w:tcW w:type="dxa" w:w="30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spring 6 (rod 2)</w:t>
            </w:r>
          </w:p>
        </w:tc>
      </w:tr>
    </w:tbl>
    <w:p>
      <w:pPr>
        <w:spacing w:after="60" w:line="252"/>
      </w:pPr>
      <w:r>
        <w:rPr>
          <w:sz w:val="18"/>
          <w:szCs w:val="18"/>
        </w:rPr>
        <w:t xml:space="preserve">A1: upper and A2: lower fixed anchoring points, labelled as in Fig. 1 (left and right added here to distinguish the mirror partners). All four are fixed in space.</w:t>
      </w:r>
    </w:p>
    <w:p>
      <w:pPr>
        <w:spacing w:after="60" w:before="160"/>
      </w:pPr>
      <w:r>
        <w:rPr>
          <w:b/>
          <w:bCs/>
          <w:sz w:val="20"/>
          <w:szCs w:val="20"/>
        </w:rPr>
        <w:t xml:space="preserve">(c) Springs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1700"/>
        <w:gridCol w:w="1638"/>
      </w:tblGrid>
      <w:tr>
        <w:trPr>
          <w:cantSplit/>
          <w:tblHeader/>
        </w:trPr>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Spring</w:t>
            </w:r>
          </w:p>
        </w:tc>
        <w:tc>
          <w:tcPr>
            <w:tcW w:type="dxa" w:w="27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End 1: element, </w:t>
            </w:r>
            <w:r>
              <w:rPr>
                <w:b/>
                <w:bCs/>
                <w:i/>
                <w:iCs/>
                <w:sz w:val="17"/>
                <w:szCs w:val="17"/>
              </w:rPr>
              <w:t xml:space="preserve">s</w:t>
            </w:r>
            <w:r>
              <w:rPr>
                <w:b/>
                <w:bCs/>
                <w:sz w:val="17"/>
                <w:szCs w:val="17"/>
              </w:rPr>
              <w:t xml:space="preserve"> (nm)</w:t>
            </w:r>
          </w:p>
          <w:p>
            <w:pPr>
              <w:jc w:val="center"/>
            </w:pPr>
            <w:r>
              <w:rPr>
                <w:b/>
                <w:bCs/>
                <w:sz w:val="17"/>
                <w:szCs w:val="17"/>
              </w:rPr>
              <w:t xml:space="preserve">position (nm)</w:t>
            </w:r>
          </w:p>
        </w:tc>
        <w:tc>
          <w:tcPr>
            <w:tcW w:type="dxa" w:w="27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End 2: element, </w:t>
            </w:r>
            <w:r>
              <w:rPr>
                <w:b/>
                <w:bCs/>
                <w:i/>
                <w:iCs/>
                <w:sz w:val="17"/>
                <w:szCs w:val="17"/>
              </w:rPr>
              <w:t xml:space="preserve">s</w:t>
            </w:r>
            <w:r>
              <w:rPr>
                <w:b/>
                <w:bCs/>
                <w:sz w:val="17"/>
                <w:szCs w:val="17"/>
              </w:rPr>
              <w:t xml:space="preserve"> (nm)</w:t>
            </w:r>
          </w:p>
          <w:p>
            <w:pPr>
              <w:jc w:val="center"/>
            </w:pPr>
            <w:r>
              <w:rPr>
                <w:b/>
                <w:bCs/>
                <w:sz w:val="17"/>
                <w:szCs w:val="17"/>
              </w:rPr>
              <w:t xml:space="preserve">position (nm)</w:t>
            </w:r>
          </w:p>
        </w:tc>
        <w:tc>
          <w:tcPr>
            <w:tcW w:type="dxa" w:w="17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Natural length (nm)</w:t>
            </w:r>
          </w:p>
        </w:tc>
        <w:tc>
          <w:tcPr>
            <w:tcW w:type="dxa" w:w="1638"/>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k</w:t>
            </w:r>
            <w:r>
              <w:rPr>
                <w:b/>
                <w:bCs/>
                <w:sz w:val="17"/>
                <w:szCs w:val="17"/>
              </w:rPr>
              <w:t xml:space="preserve"> (N m</w:t>
            </w:r>
            <w:r>
              <w:rPr>
                <w:b/>
                <w:bCs/>
                <w:sz w:val="17"/>
                <w:szCs w:val="17"/>
                <w:vertAlign w:val="superscript"/>
              </w:rPr>
              <w:t xml:space="preserve">−1</w:t>
            </w:r>
            <w:r>
              <w:rPr>
                <w:b/>
                <w:bCs/>
                <w:sz w:val="17"/>
                <w:szCs w:val="17"/>
              </w:rPr>
              <w:t xml:space="preserve">)</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1, </w:t>
            </w:r>
            <w:r>
              <w:rPr>
                <w:i/>
                <w:iCs/>
                <w:sz w:val="17"/>
                <w:szCs w:val="17"/>
              </w:rPr>
              <w:t xml:space="preserve">s</w:t>
            </w:r>
            <w:r>
              <w:rPr>
                <w:sz w:val="17"/>
                <w:szCs w:val="17"/>
              </w:rPr>
              <w:t xml:space="preserve"> = +1</w:t>
            </w:r>
          </w:p>
          <w:p>
            <w:pPr>
              <w:jc w:val="center"/>
            </w:pPr>
            <w:r>
              <w:rPr>
                <w:sz w:val="17"/>
                <w:szCs w:val="17"/>
              </w:rPr>
              <w:t xml:space="preserve">(-0.658, 0.940)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2, </w:t>
            </w:r>
            <w:r>
              <w:rPr>
                <w:i/>
                <w:iCs/>
                <w:sz w:val="17"/>
                <w:szCs w:val="17"/>
              </w:rPr>
              <w:t xml:space="preserve">s</w:t>
            </w:r>
            <w:r>
              <w:rPr>
                <w:sz w:val="17"/>
                <w:szCs w:val="17"/>
              </w:rPr>
              <w:t xml:space="preserve"> = +1</w:t>
            </w:r>
          </w:p>
          <w:p>
            <w:pPr>
              <w:jc w:val="center"/>
            </w:pPr>
            <w:r>
              <w:rPr>
                <w:sz w:val="17"/>
                <w:szCs w:val="17"/>
              </w:rPr>
              <w:t xml:space="preserve">(0.658, 0.940)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1.316</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2</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1, </w:t>
            </w:r>
            <w:r>
              <w:rPr>
                <w:i/>
                <w:iCs/>
                <w:sz w:val="17"/>
                <w:szCs w:val="17"/>
              </w:rPr>
              <w:t xml:space="preserve">s</w:t>
            </w:r>
            <w:r>
              <w:rPr>
                <w:sz w:val="17"/>
                <w:szCs w:val="17"/>
              </w:rPr>
              <w:t xml:space="preserve"> = -1</w:t>
            </w:r>
          </w:p>
          <w:p>
            <w:pPr>
              <w:jc w:val="center"/>
            </w:pPr>
            <w:r>
              <w:rPr>
                <w:sz w:val="17"/>
                <w:szCs w:val="17"/>
              </w:rPr>
              <w:t xml:space="preserve">(-1.342, -0.940)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2, </w:t>
            </w:r>
            <w:r>
              <w:rPr>
                <w:i/>
                <w:iCs/>
                <w:sz w:val="17"/>
                <w:szCs w:val="17"/>
              </w:rPr>
              <w:t xml:space="preserve">s</w:t>
            </w:r>
            <w:r>
              <w:rPr>
                <w:sz w:val="17"/>
                <w:szCs w:val="17"/>
              </w:rPr>
              <w:t xml:space="preserve"> = -1</w:t>
            </w:r>
          </w:p>
          <w:p>
            <w:pPr>
              <w:jc w:val="center"/>
            </w:pPr>
            <w:r>
              <w:rPr>
                <w:sz w:val="17"/>
                <w:szCs w:val="17"/>
              </w:rPr>
              <w:t xml:space="preserve">(1.342, -0.940)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2.684</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3</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3, </w:t>
            </w:r>
            <w:r>
              <w:rPr>
                <w:i/>
                <w:iCs/>
                <w:sz w:val="17"/>
                <w:szCs w:val="17"/>
              </w:rPr>
              <w:t xml:space="preserve">s</w:t>
            </w:r>
            <w:r>
              <w:rPr>
                <w:sz w:val="17"/>
                <w:szCs w:val="17"/>
              </w:rPr>
              <w:t xml:space="preserve"> = +1</w:t>
            </w:r>
          </w:p>
          <w:p>
            <w:pPr>
              <w:jc w:val="center"/>
            </w:pPr>
            <w:r>
              <w:rPr>
                <w:sz w:val="17"/>
                <w:szCs w:val="17"/>
              </w:rPr>
              <w:t xml:space="preserve">(-0.944, 1.488)</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A1 (left)</w:t>
            </w:r>
          </w:p>
          <w:p>
            <w:pPr>
              <w:jc w:val="center"/>
            </w:pPr>
            <w:r>
              <w:rPr>
                <w:sz w:val="17"/>
                <w:szCs w:val="17"/>
              </w:rPr>
              <w:t xml:space="preserve">(-3.000, 2.000)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2.119</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4</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4, </w:t>
            </w:r>
            <w:r>
              <w:rPr>
                <w:i/>
                <w:iCs/>
                <w:sz w:val="17"/>
                <w:szCs w:val="17"/>
              </w:rPr>
              <w:t xml:space="preserve">s</w:t>
            </w:r>
            <w:r>
              <w:rPr>
                <w:sz w:val="17"/>
                <w:szCs w:val="17"/>
              </w:rPr>
              <w:t xml:space="preserve"> = +1</w:t>
            </w:r>
          </w:p>
          <w:p>
            <w:pPr>
              <w:jc w:val="center"/>
            </w:pPr>
            <w:r>
              <w:rPr>
                <w:sz w:val="17"/>
                <w:szCs w:val="17"/>
              </w:rPr>
              <w:t xml:space="preserve">(0.944, 1.488)</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A1 (right)</w:t>
            </w:r>
          </w:p>
          <w:p>
            <w:pPr>
              <w:jc w:val="center"/>
            </w:pPr>
            <w:r>
              <w:rPr>
                <w:sz w:val="17"/>
                <w:szCs w:val="17"/>
              </w:rPr>
              <w:t xml:space="preserve">(3.000, 2.000)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2.119</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5</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1, </w:t>
            </w:r>
            <w:r>
              <w:rPr>
                <w:i/>
                <w:iCs/>
                <w:sz w:val="17"/>
                <w:szCs w:val="17"/>
              </w:rPr>
              <w:t xml:space="preserve">s</w:t>
            </w:r>
            <w:r>
              <w:rPr>
                <w:sz w:val="17"/>
                <w:szCs w:val="17"/>
              </w:rPr>
              <w:t xml:space="preserve"> = -1.5</w:t>
            </w:r>
          </w:p>
          <w:p>
            <w:pPr>
              <w:jc w:val="center"/>
            </w:pPr>
            <w:r>
              <w:rPr>
                <w:sz w:val="17"/>
                <w:szCs w:val="17"/>
              </w:rPr>
              <w:t xml:space="preserve">(-1.513, -1.410)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A2 (left)</w:t>
            </w:r>
          </w:p>
          <w:p>
            <w:pPr>
              <w:jc w:val="center"/>
            </w:pPr>
            <w:r>
              <w:rPr>
                <w:sz w:val="17"/>
                <w:szCs w:val="17"/>
              </w:rPr>
              <w:t xml:space="preserve">(-3.000, -2.000)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1.600</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6</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2, </w:t>
            </w:r>
            <w:r>
              <w:rPr>
                <w:i/>
                <w:iCs/>
                <w:sz w:val="17"/>
                <w:szCs w:val="17"/>
              </w:rPr>
              <w:t xml:space="preserve">s</w:t>
            </w:r>
            <w:r>
              <w:rPr>
                <w:sz w:val="17"/>
                <w:szCs w:val="17"/>
              </w:rPr>
              <w:t xml:space="preserve"> = -1.5</w:t>
            </w:r>
          </w:p>
          <w:p>
            <w:pPr>
              <w:jc w:val="center"/>
            </w:pPr>
            <w:r>
              <w:rPr>
                <w:sz w:val="17"/>
                <w:szCs w:val="17"/>
              </w:rPr>
              <w:t xml:space="preserve">(1.513, -1.410)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A2 (right)</w:t>
            </w:r>
          </w:p>
          <w:p>
            <w:pPr>
              <w:jc w:val="center"/>
            </w:pPr>
            <w:r>
              <w:rPr>
                <w:sz w:val="17"/>
                <w:szCs w:val="17"/>
              </w:rPr>
              <w:t xml:space="preserve">(3.000, -2.000)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1.600</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7</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1, </w:t>
            </w:r>
            <w:r>
              <w:rPr>
                <w:i/>
                <w:iCs/>
                <w:sz w:val="17"/>
                <w:szCs w:val="17"/>
              </w:rPr>
              <w:t xml:space="preserve">s</w:t>
            </w:r>
            <w:r>
              <w:rPr>
                <w:sz w:val="17"/>
                <w:szCs w:val="17"/>
              </w:rPr>
              <w:t xml:space="preserve"> = +1.4</w:t>
            </w:r>
          </w:p>
          <w:p>
            <w:pPr>
              <w:jc w:val="center"/>
            </w:pPr>
            <w:r>
              <w:rPr>
                <w:sz w:val="17"/>
                <w:szCs w:val="17"/>
              </w:rPr>
              <w:t xml:space="preserve">(-0.521, 1.316)</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3, </w:t>
            </w:r>
            <w:r>
              <w:rPr>
                <w:i/>
                <w:iCs/>
                <w:sz w:val="17"/>
                <w:szCs w:val="17"/>
              </w:rPr>
              <w:t xml:space="preserve">s</w:t>
            </w:r>
            <w:r>
              <w:rPr>
                <w:sz w:val="17"/>
                <w:szCs w:val="17"/>
              </w:rPr>
              <w:t xml:space="preserve"> = +0.85</w:t>
            </w:r>
          </w:p>
          <w:p>
            <w:pPr>
              <w:jc w:val="center"/>
            </w:pPr>
            <w:r>
              <w:rPr>
                <w:sz w:val="17"/>
                <w:szCs w:val="17"/>
              </w:rPr>
              <w:t xml:space="preserve">(-0.967, 1.340)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0.447</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8</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2, </w:t>
            </w:r>
            <w:r>
              <w:rPr>
                <w:i/>
                <w:iCs/>
                <w:sz w:val="17"/>
                <w:szCs w:val="17"/>
              </w:rPr>
              <w:t xml:space="preserve">s</w:t>
            </w:r>
            <w:r>
              <w:rPr>
                <w:sz w:val="17"/>
                <w:szCs w:val="17"/>
              </w:rPr>
              <w:t xml:space="preserve"> = +1.4</w:t>
            </w:r>
          </w:p>
          <w:p>
            <w:pPr>
              <w:jc w:val="center"/>
            </w:pPr>
            <w:r>
              <w:rPr>
                <w:sz w:val="17"/>
                <w:szCs w:val="17"/>
              </w:rPr>
              <w:t xml:space="preserve">(0.521, 1.316)</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4, </w:t>
            </w:r>
            <w:r>
              <w:rPr>
                <w:i/>
                <w:iCs/>
                <w:sz w:val="17"/>
                <w:szCs w:val="17"/>
              </w:rPr>
              <w:t xml:space="preserve">s</w:t>
            </w:r>
            <w:r>
              <w:rPr>
                <w:sz w:val="17"/>
                <w:szCs w:val="17"/>
              </w:rPr>
              <w:t xml:space="preserve"> = +0.85</w:t>
            </w:r>
          </w:p>
          <w:p>
            <w:pPr>
              <w:jc w:val="center"/>
            </w:pPr>
            <w:r>
              <w:rPr>
                <w:sz w:val="17"/>
                <w:szCs w:val="17"/>
              </w:rPr>
              <w:t xml:space="preserve">(0.967, 1.340)</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0.447</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9</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1, </w:t>
            </w:r>
            <w:r>
              <w:rPr>
                <w:i/>
                <w:iCs/>
                <w:sz w:val="17"/>
                <w:szCs w:val="17"/>
              </w:rPr>
              <w:t xml:space="preserve">s</w:t>
            </w:r>
            <w:r>
              <w:rPr>
                <w:sz w:val="17"/>
                <w:szCs w:val="17"/>
              </w:rPr>
              <w:t xml:space="preserve"> = -0.5</w:t>
            </w:r>
          </w:p>
          <w:p>
            <w:pPr>
              <w:jc w:val="center"/>
            </w:pPr>
            <w:r>
              <w:rPr>
                <w:sz w:val="17"/>
                <w:szCs w:val="17"/>
              </w:rPr>
              <w:t xml:space="preserve">(-1.171, -0.470)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3, </w:t>
            </w:r>
            <w:r>
              <w:rPr>
                <w:i/>
                <w:iCs/>
                <w:sz w:val="17"/>
                <w:szCs w:val="17"/>
              </w:rPr>
              <w:t xml:space="preserve">s</w:t>
            </w:r>
            <w:r>
              <w:rPr>
                <w:sz w:val="17"/>
                <w:szCs w:val="17"/>
              </w:rPr>
              <w:t xml:space="preserve"> = -1</w:t>
            </w:r>
          </w:p>
          <w:p>
            <w:pPr>
              <w:jc w:val="center"/>
            </w:pPr>
            <w:r>
              <w:rPr>
                <w:sz w:val="17"/>
                <w:szCs w:val="17"/>
              </w:rPr>
              <w:t xml:space="preserve">(-1.256, -0.488)</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0.087</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2, </w:t>
            </w:r>
            <w:r>
              <w:rPr>
                <w:i/>
                <w:iCs/>
                <w:sz w:val="17"/>
                <w:szCs w:val="17"/>
              </w:rPr>
              <w:t xml:space="preserve">s</w:t>
            </w:r>
            <w:r>
              <w:rPr>
                <w:sz w:val="17"/>
                <w:szCs w:val="17"/>
              </w:rPr>
              <w:t xml:space="preserve"> = -0.5</w:t>
            </w:r>
          </w:p>
          <w:p>
            <w:pPr>
              <w:jc w:val="center"/>
            </w:pPr>
            <w:r>
              <w:rPr>
                <w:sz w:val="17"/>
                <w:szCs w:val="17"/>
              </w:rPr>
              <w:t xml:space="preserve">(1.171, -0.470)</w:t>
            </w:r>
          </w:p>
        </w:tc>
        <w:tc>
          <w:tcPr>
            <w:tcW w:type="dxa" w:w="2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rod 4, </w:t>
            </w:r>
            <w:r>
              <w:rPr>
                <w:i/>
                <w:iCs/>
                <w:sz w:val="17"/>
                <w:szCs w:val="17"/>
              </w:rPr>
              <w:t xml:space="preserve">s</w:t>
            </w:r>
            <w:r>
              <w:rPr>
                <w:sz w:val="17"/>
                <w:szCs w:val="17"/>
              </w:rPr>
              <w:t xml:space="preserve"> = -1</w:t>
            </w:r>
          </w:p>
          <w:p>
            <w:pPr>
              <w:jc w:val="center"/>
            </w:pPr>
            <w:r>
              <w:rPr>
                <w:sz w:val="17"/>
                <w:szCs w:val="17"/>
              </w:rPr>
              <w:t xml:space="preserve">(1.256, -0.488)</w:t>
            </w:r>
          </w:p>
        </w:tc>
        <w:tc>
          <w:tcPr>
            <w:tcW w:type="dxa" w:w="1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0.087</w:t>
            </w:r>
          </w:p>
        </w:tc>
        <w:tc>
          <w:tcPr>
            <w:tcW w:type="dxa" w:w="16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r>
    </w:tbl>
    <w:p>
      <w:pPr>
        <w:spacing w:after="60" w:line="252"/>
      </w:pPr>
      <w:r>
        <w:rPr>
          <w:i/>
          <w:iCs/>
          <w:sz w:val="18"/>
          <w:szCs w:val="18"/>
        </w:rPr>
        <w:t xml:space="preserve">s</w:t>
      </w:r>
      <w:r>
        <w:rPr>
          <w:sz w:val="18"/>
          <w:szCs w:val="18"/>
        </w:rPr>
        <w:t xml:space="preserve">: position of the attachment point along the rod axis, measured from the rod centre (positive towards the upper end of the rod in Fig. 1B). The natural length of every spring equals its length in the equilibrium configuration, so the network is unstressed (no spring force at equilibrium); this is why the model has exactly two zero modes (Methods, Eq. 10).</w:t>
      </w:r>
    </w:p>
    <w:p>
      <w:pPr>
        <w:spacing w:after="60" w:line="252"/>
      </w:pPr>
      <w:r>
        <w:rPr>
          <w:sz w:val="18"/>
          <w:szCs w:val="18"/>
        </w:rPr>
        <w:t xml:space="preserve">Units used in the code: the notebook works in model units (length 1 nm, mass 1.44×10</w:t>
      </w:r>
      <w:r>
        <w:rPr>
          <w:sz w:val="18"/>
          <w:szCs w:val="18"/>
          <w:vertAlign w:val="superscript"/>
        </w:rPr>
        <w:t xml:space="preserve">−24</w:t>
      </w:r>
      <w:r>
        <w:rPr>
          <w:sz w:val="18"/>
          <w:szCs w:val="18"/>
        </w:rPr>
        <w:t xml:space="preserve"> kg, spring constant 0.1 N m</w:t>
      </w:r>
      <w:r>
        <w:rPr>
          <w:sz w:val="18"/>
          <w:szCs w:val="18"/>
          <w:vertAlign w:val="superscript"/>
        </w:rPr>
        <w:t xml:space="preserve">−1</w:t>
      </w:r>
      <w:r>
        <w:rPr>
          <w:sz w:val="18"/>
          <w:szCs w:val="18"/>
        </w:rPr>
        <w:t xml:space="preserve">), so that the model values (3, 2 for the masses; 10, 20, 1000 for the springs) correspond to the SI values above. Frequencies scale as √(</w:t>
      </w:r>
      <w:r>
        <w:rPr>
          <w:i/>
          <w:iCs/>
          <w:sz w:val="18"/>
          <w:szCs w:val="18"/>
        </w:rPr>
        <w:t xml:space="preserve">k</w:t>
      </w:r>
      <w:r>
        <w:rPr>
          <w:sz w:val="18"/>
          <w:szCs w:val="18"/>
        </w:rPr>
        <w:t xml:space="preserve">/</w:t>
      </w:r>
      <w:r>
        <w:rPr>
          <w:i/>
          <w:iCs/>
          <w:sz w:val="18"/>
          <w:szCs w:val="18"/>
        </w:rPr>
        <w:t xml:space="preserve">m</w:t>
      </w:r>
      <w:r>
        <w:rPr>
          <w:sz w:val="18"/>
          <w:szCs w:val="18"/>
        </w:rPr>
        <w:t xml:space="preserve">); Table 1 corresponds to the spring constants listed here. Other parameters: temperature </w:t>
      </w:r>
      <w:r>
        <w:rPr>
          <w:i/>
          <w:iCs/>
          <w:sz w:val="18"/>
          <w:szCs w:val="18"/>
        </w:rPr>
        <w:t xml:space="preserve">T</w:t>
      </w:r>
      <w:r>
        <w:rPr>
          <w:sz w:val="18"/>
          <w:szCs w:val="18"/>
        </w:rPr>
        <w:t xml:space="preserve"> = 310 K; for the damping estimates (Table S3) each rod is a cylinder of diameter 1 nm, in water of viscosity 0.7 mPa s at 310 K.</w:t>
      </w:r>
    </w:p>
    <w:p>
      <w:r>
        <w:br w:type="page"/>
      </w:r>
    </w:p>
    <w:p>
      <w:pPr>
        <w:pStyle w:val="Heading1"/>
        <w:spacing w:after="120" w:before="240"/>
      </w:pPr>
      <w:r>
        <w:t xml:space="preserve">Figure S1. The two zero-frequency modes</w:t>
      </w:r>
    </w:p>
    <w:p>
      <w:pPr>
        <w:jc w:val="center"/>
      </w:pPr>
      <w:r>
        <w:drawing>
          <wp:inline distT="0" distB="0" distL="0" distR="0">
            <wp:extent cx="6096000" cy="2990850"/>
            <wp:effectExtent t="0" r="0" b="0" l="0"/>
            <wp:docPr id="1" name="FigS1" descr="Zero modes 1 and 2 of the rod-spring model"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90850"/>
                    </a:xfrm>
                    <a:prstGeom prst="rect">
                      <a:avLst/>
                    </a:prstGeom>
                  </pic:spPr>
                </pic:pic>
              </a:graphicData>
            </a:graphic>
          </wp:inline>
        </w:drawing>
      </w:r>
    </w:p>
    <w:p>
      <w:pPr>
        <w:spacing w:after="100" w:before="120" w:line="264"/>
      </w:pPr>
      <w:r>
        <w:rPr>
          <w:b/>
          <w:bCs/>
        </w:rPr>
        <w:t xml:space="preserve">Figure S1. </w:t>
      </w:r>
      <w:r>
        <w:t xml:space="preserve">The two zero-frequency modes (modes 1 and 2) of the unstressed spring network. Grey: equilibrium configuration, with the springs (dashed) and the fixed anchoring points (grey circles). Coloured solid and dotted lines: the rods displaced in the two opposite directions along each mode; the arrows show the displacement of the rod ends for the solid configuration. Blue and orange: long inner rods (pore walls); green and red: short outer rods. Linear mode shapes, with displacements exaggerated for visibility (largest rod-end displacement 3.3 Å in mode 1 and 3.6 Å in mode 2). The two modes have the same (zero) frequency, so any combination of them is also a zero mode; both are mirror-antisymmetric. The basis shown separates the motion of the pore walls from that of the outer rods. In zero mode 1, all of the (mass-weighted) motion is in the pore walls, which slide along their axes in opposite directions, with a smaller sideways shift and tilt in the same sense; this changes the asymmetric shift Δ</w:t>
      </w:r>
      <w:r>
        <w:rPr>
          <w:i/>
          <w:iCs/>
        </w:rPr>
        <w:t xml:space="preserve">y</w:t>
      </w:r>
      <w:r>
        <w:t xml:space="preserve"> but not the pore width. In zero mode 2, 99% of the motion is in the outer rods, which slide axially in opposite directions and tilt; the pore width is unchanged and Δ</w:t>
      </w:r>
      <w:r>
        <w:rPr>
          <w:i/>
          <w:iCs/>
        </w:rPr>
        <w:t xml:space="preserve">y</w:t>
      </w:r>
      <w:r>
        <w:t xml:space="preserve"> changes by less than 5% of its change in mode 1. Neither motion has a restoring force in the harmonic model. See also Animations S1 and S2.</w:t>
      </w:r>
    </w:p>
    <w:p>
      <w:r>
        <w:br w:type="page"/>
      </w:r>
    </w:p>
    <w:p>
      <w:pPr>
        <w:pStyle w:val="Heading1"/>
        <w:spacing w:after="120" w:before="240"/>
      </w:pPr>
      <w:r>
        <w:t xml:space="preserve">Table S2. Thermal rms amplitudes at 310 K, modes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40"/>
        <w:gridCol w:w="900"/>
        <w:gridCol w:w="900"/>
        <w:gridCol w:w="840"/>
        <w:gridCol w:w="900"/>
        <w:gridCol w:w="900"/>
        <w:gridCol w:w="840"/>
        <w:gridCol w:w="840"/>
        <w:gridCol w:w="900"/>
        <w:gridCol w:w="1078"/>
      </w:tblGrid>
      <w:tr>
        <w:trPr>
          <w:cantSplit/>
          <w:tblHeader/>
        </w:trPr>
        <w:tc>
          <w:tcPr>
            <w:tcW w:type="dxa" w:w="7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Mode</w:t>
            </w:r>
          </w:p>
        </w:tc>
        <w:tc>
          <w:tcPr>
            <w:tcW w:type="dxa" w:w="84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x</w:t>
            </w:r>
            <w:r>
              <w:rPr>
                <w:b/>
                <w:bCs/>
                <w:sz w:val="17"/>
                <w:szCs w:val="17"/>
              </w:rPr>
              <w:t xml:space="preserve"> top</w:t>
            </w:r>
          </w:p>
          <w:p>
            <w:pPr>
              <w:jc w:val="center"/>
            </w:pPr>
            <w:r>
              <w:rPr>
                <w:b/>
                <w:bCs/>
                <w:sz w:val="17"/>
                <w:szCs w:val="17"/>
              </w:rPr>
              <w:t xml:space="preserve">(Å)</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x</w:t>
            </w:r>
            <w:r>
              <w:rPr>
                <w:b/>
                <w:bCs/>
                <w:sz w:val="17"/>
                <w:szCs w:val="17"/>
              </w:rPr>
              <w:t xml:space="preserve"> middle</w:t>
            </w:r>
          </w:p>
          <w:p>
            <w:pPr>
              <w:jc w:val="center"/>
            </w:pPr>
            <w:r>
              <w:rPr>
                <w:b/>
                <w:bCs/>
                <w:sz w:val="17"/>
                <w:szCs w:val="17"/>
              </w:rPr>
              <w:t xml:space="preserve">(Å)</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x</w:t>
            </w:r>
            <w:r>
              <w:rPr>
                <w:b/>
                <w:bCs/>
                <w:sz w:val="17"/>
                <w:szCs w:val="17"/>
              </w:rPr>
              <w:t xml:space="preserve"> bottom</w:t>
            </w:r>
          </w:p>
          <w:p>
            <w:pPr>
              <w:jc w:val="center"/>
            </w:pPr>
            <w:r>
              <w:rPr>
                <w:b/>
                <w:bCs/>
                <w:sz w:val="17"/>
                <w:szCs w:val="17"/>
              </w:rPr>
              <w:t xml:space="preserve">(Å)</w:t>
            </w:r>
          </w:p>
        </w:tc>
        <w:tc>
          <w:tcPr>
            <w:tcW w:type="dxa" w:w="84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y</w:t>
            </w:r>
            <w:r>
              <w:rPr>
                <w:b/>
                <w:bCs/>
                <w:sz w:val="17"/>
                <w:szCs w:val="17"/>
              </w:rPr>
              <w:t xml:space="preserve"> top</w:t>
            </w:r>
          </w:p>
          <w:p>
            <w:pPr>
              <w:jc w:val="center"/>
            </w:pPr>
            <w:r>
              <w:rPr>
                <w:b/>
                <w:bCs/>
                <w:sz w:val="17"/>
                <w:szCs w:val="17"/>
              </w:rPr>
              <w:t xml:space="preserve">(Å)</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y</w:t>
            </w:r>
            <w:r>
              <w:rPr>
                <w:b/>
                <w:bCs/>
                <w:sz w:val="17"/>
                <w:szCs w:val="17"/>
              </w:rPr>
              <w:t xml:space="preserve"> middle</w:t>
            </w:r>
          </w:p>
          <w:p>
            <w:pPr>
              <w:jc w:val="center"/>
            </w:pPr>
            <w:r>
              <w:rPr>
                <w:b/>
                <w:bCs/>
                <w:sz w:val="17"/>
                <w:szCs w:val="17"/>
              </w:rPr>
              <w:t xml:space="preserve">(Å)</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Δ</w:t>
            </w:r>
            <w:r>
              <w:rPr>
                <w:b/>
                <w:bCs/>
                <w:i/>
                <w:iCs/>
                <w:sz w:val="17"/>
                <w:szCs w:val="17"/>
              </w:rPr>
              <w:t xml:space="preserve">y</w:t>
            </w:r>
            <w:r>
              <w:rPr>
                <w:b/>
                <w:bCs/>
                <w:sz w:val="17"/>
                <w:szCs w:val="17"/>
              </w:rPr>
              <w:t xml:space="preserve"> bottom</w:t>
            </w:r>
          </w:p>
          <w:p>
            <w:pPr>
              <w:jc w:val="center"/>
            </w:pPr>
            <w:r>
              <w:rPr>
                <w:b/>
                <w:bCs/>
                <w:sz w:val="17"/>
                <w:szCs w:val="17"/>
              </w:rPr>
              <w:t xml:space="preserve">(Å)</w:t>
            </w:r>
          </w:p>
        </w:tc>
        <w:tc>
          <w:tcPr>
            <w:tcW w:type="dxa" w:w="84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Sway</w:t>
            </w:r>
          </w:p>
          <w:p>
            <w:pPr>
              <w:jc w:val="center"/>
            </w:pPr>
            <w:r>
              <w:rPr>
                <w:b/>
                <w:bCs/>
                <w:sz w:val="17"/>
                <w:szCs w:val="17"/>
              </w:rPr>
              <w:t xml:space="preserve">(Å)</w:t>
            </w:r>
          </w:p>
        </w:tc>
        <w:tc>
          <w:tcPr>
            <w:tcW w:type="dxa" w:w="84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Piston</w:t>
            </w:r>
          </w:p>
          <w:p>
            <w:pPr>
              <w:jc w:val="center"/>
            </w:pPr>
            <w:r>
              <w:rPr>
                <w:b/>
                <w:bCs/>
                <w:sz w:val="17"/>
                <w:szCs w:val="17"/>
              </w:rPr>
              <w:t xml:space="preserve">(Å)</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Wall tilt</w:t>
            </w:r>
          </w:p>
          <w:p>
            <w:pPr>
              <w:jc w:val="center"/>
            </w:pPr>
            <w:r>
              <w:rPr>
                <w:b/>
                <w:bCs/>
                <w:sz w:val="17"/>
                <w:szCs w:val="17"/>
              </w:rPr>
              <w:t xml:space="preserve">(°)</w:t>
            </w:r>
          </w:p>
        </w:tc>
        <w:tc>
          <w:tcPr>
            <w:tcW w:type="dxa" w:w="1078"/>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Outer-rod tilt</w:t>
            </w:r>
          </w:p>
          <w:p>
            <w:pPr>
              <w:jc w:val="center"/>
            </w:pPr>
            <w:r>
              <w:rPr>
                <w:b/>
                <w:bCs/>
                <w:sz w:val="17"/>
                <w:szCs w:val="17"/>
              </w:rPr>
              <w:t xml:space="preserve">(°)</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3</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0.42</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0.16</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0.09</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0.09</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0.52</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5.56</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4</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0.15</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0.29</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1.42</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0.45</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0.64</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5</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0.008</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0.13</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0.25</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0.39</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0.67</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0.18</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6</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0.39</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0.19</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0.06</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1.61</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1.14</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7</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0.56</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0.31</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0.05</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0.009</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0.52</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0.50</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8</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0.15</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0.50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0.004</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0.71</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0.78</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9</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0.05</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0.005</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0.06</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0.05</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0.29</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0.89</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0.35</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0.12</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0.12</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0.001</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0.48</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0.67</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11</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0.003</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0.001</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0.007</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0.17</w:t>
            </w:r>
          </w:p>
        </w:tc>
      </w:tr>
      <w:tr>
        <w:trPr>
          <w:cantSplit/>
          <w:tblHeader w:val="off"/>
        </w:trPr>
        <w:tc>
          <w:tcPr>
            <w:tcW w:type="dxa" w:w="7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12</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0.002</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c>
          <w:tcPr>
            <w:tcW w:type="dxa" w:w="84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0.001</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w:t>
            </w:r>
          </w:p>
        </w:tc>
        <w:tc>
          <w:tcPr>
            <w:tcW w:type="dxa" w:w="107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0.17</w:t>
            </w:r>
          </w:p>
        </w:tc>
      </w:tr>
      <w:tr>
        <w:trPr>
          <w:cantSplit/>
          <w:tblHeader w:val="off"/>
        </w:trPr>
        <w:tc>
          <w:tcPr>
            <w:tcW w:type="dxa" w:w="7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left"/>
            </w:pPr>
            <w:r>
              <w:rPr>
                <w:b/>
                <w:bCs/>
                <w:sz w:val="17"/>
                <w:szCs w:val="17"/>
              </w:rPr>
              <w:t xml:space="preserve">3–12</w:t>
            </w:r>
          </w:p>
        </w:tc>
        <w:tc>
          <w:tcPr>
            <w:tcW w:type="dxa" w:w="84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0.83</w:t>
            </w:r>
          </w:p>
        </w:tc>
        <w:tc>
          <w:tcPr>
            <w:tcW w:type="dxa" w:w="9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0.40</w:t>
            </w:r>
          </w:p>
        </w:tc>
        <w:tc>
          <w:tcPr>
            <w:tcW w:type="dxa" w:w="9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0.60</w:t>
            </w:r>
          </w:p>
        </w:tc>
        <w:tc>
          <w:tcPr>
            <w:tcW w:type="dxa" w:w="84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0.39</w:t>
            </w:r>
          </w:p>
        </w:tc>
        <w:tc>
          <w:tcPr>
            <w:tcW w:type="dxa" w:w="9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0.16</w:t>
            </w:r>
          </w:p>
        </w:tc>
        <w:tc>
          <w:tcPr>
            <w:tcW w:type="dxa" w:w="9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0.32</w:t>
            </w:r>
          </w:p>
        </w:tc>
        <w:tc>
          <w:tcPr>
            <w:tcW w:type="dxa" w:w="84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0.40</w:t>
            </w:r>
          </w:p>
        </w:tc>
        <w:tc>
          <w:tcPr>
            <w:tcW w:type="dxa" w:w="84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r>
              <w:rPr>
                <w:b/>
                <w:bCs/>
                <w:sz w:val="17"/>
                <w:szCs w:val="17"/>
              </w:rPr>
              <w:t xml:space="preserve">1.42</w:t>
            </w:r>
          </w:p>
        </w:tc>
        <w:tc>
          <w:tcPr>
            <w:tcW w:type="dxa" w:w="900"/>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p>
        </w:tc>
        <w:tc>
          <w:tcPr>
            <w:tcW w:type="dxa" w:w="1078"/>
            <w:tcBorders>
              <w:top w:val="single" w:color="8C96A5" w:sz="4"/>
              <w:left w:val="single" w:color="8C96A5" w:sz="4"/>
              <w:bottom w:val="single" w:color="8C96A5" w:sz="4"/>
              <w:right w:val="single" w:color="8C96A5" w:sz="4"/>
            </w:tcBorders>
            <w:shd w:fill="F2F2F2" w:color="auto" w:val="clear"/>
            <w:tcMar>
              <w:top w:type="dxa" w:w="40"/>
              <w:left w:type="dxa" w:w="70"/>
              <w:bottom w:type="dxa" w:w="40"/>
              <w:right w:type="dxa" w:w="70"/>
            </w:tcMar>
            <w:vAlign w:val="center"/>
          </w:tcPr>
          <w:p>
            <w:pPr>
              <w:jc w:val="center"/>
            </w:pPr>
          </w:p>
        </w:tc>
      </w:tr>
    </w:tbl>
    <w:p>
      <w:pPr>
        <w:spacing w:after="60" w:line="252"/>
      </w:pPr>
      <w:r>
        <w:rPr>
          <w:sz w:val="18"/>
          <w:szCs w:val="18"/>
        </w:rPr>
        <w:t xml:space="preserve">Root-mean-square (rms) thermal amplitudes from equipartition, rms(</w:t>
      </w:r>
      <w:r>
        <w:rPr>
          <w:i/>
          <w:iCs/>
          <w:sz w:val="18"/>
          <w:szCs w:val="18"/>
        </w:rPr>
        <w:t xml:space="preserve">g</w:t>
      </w:r>
      <w:r>
        <w:rPr>
          <w:sz w:val="18"/>
          <w:szCs w:val="18"/>
        </w:rPr>
        <w:t xml:space="preserve">) = |Σ</w:t>
      </w:r>
      <w:r>
        <w:rPr>
          <w:sz w:val="18"/>
          <w:szCs w:val="18"/>
          <w:vertAlign w:val="subscript"/>
        </w:rPr>
        <w:t xml:space="preserve">k</w:t>
      </w:r>
      <w:r>
        <w:rPr>
          <w:sz w:val="18"/>
          <w:szCs w:val="18"/>
        </w:rPr>
        <w:t xml:space="preserve"> </w:t>
      </w:r>
      <w:r>
        <w:rPr>
          <w:i/>
          <w:iCs/>
          <w:sz w:val="18"/>
          <w:szCs w:val="18"/>
        </w:rPr>
        <w:t xml:space="preserve">g</w:t>
      </w:r>
      <w:r>
        <w:rPr>
          <w:i/>
          <w:iCs/>
          <w:sz w:val="18"/>
          <w:szCs w:val="18"/>
          <w:vertAlign w:val="subscript"/>
        </w:rPr>
        <w:t xml:space="preserve">k</w:t>
      </w:r>
      <w:r>
        <w:rPr>
          <w:i/>
          <w:iCs/>
          <w:sz w:val="18"/>
          <w:szCs w:val="18"/>
        </w:rPr>
        <w:t xml:space="preserve"> v</w:t>
      </w:r>
      <w:r>
        <w:rPr>
          <w:i/>
          <w:iCs/>
          <w:sz w:val="18"/>
          <w:szCs w:val="18"/>
          <w:vertAlign w:val="subscript"/>
        </w:rPr>
        <w:t xml:space="preserve">kn</w:t>
      </w:r>
      <w:r>
        <w:rPr>
          <w:sz w:val="18"/>
          <w:szCs w:val="18"/>
        </w:rPr>
        <w:t xml:space="preserve">/√</w:t>
      </w:r>
      <w:r>
        <w:rPr>
          <w:i/>
          <w:iCs/>
          <w:sz w:val="18"/>
          <w:szCs w:val="18"/>
        </w:rPr>
        <w:t xml:space="preserve">W</w:t>
      </w:r>
      <w:r>
        <w:rPr>
          <w:i/>
          <w:iCs/>
          <w:sz w:val="18"/>
          <w:szCs w:val="18"/>
          <w:vertAlign w:val="subscript"/>
        </w:rPr>
        <w:t xml:space="preserve">k</w:t>
      </w:r>
      <w:r>
        <w:rPr>
          <w:sz w:val="18"/>
          <w:szCs w:val="18"/>
        </w:rPr>
        <w:t xml:space="preserve">| (</w:t>
      </w:r>
      <w:r>
        <w:rPr>
          <w:i/>
          <w:iCs/>
          <w:sz w:val="18"/>
          <w:szCs w:val="18"/>
        </w:rPr>
        <w:t xml:space="preserve">k</w:t>
      </w:r>
      <w:r>
        <w:rPr>
          <w:i/>
          <w:iCs/>
          <w:sz w:val="18"/>
          <w:szCs w:val="18"/>
          <w:vertAlign w:val="subscript"/>
        </w:rPr>
        <w:t xml:space="preserve">B</w:t>
      </w:r>
      <w:r>
        <w:rPr>
          <w:i/>
          <w:iCs/>
          <w:sz w:val="18"/>
          <w:szCs w:val="18"/>
        </w:rPr>
        <w:t xml:space="preserve">T</w:t>
      </w:r>
      <w:r>
        <w:rPr>
          <w:sz w:val="18"/>
          <w:szCs w:val="18"/>
        </w:rPr>
        <w:t xml:space="preserve">)</w:t>
      </w:r>
      <w:r>
        <w:rPr>
          <w:sz w:val="18"/>
          <w:szCs w:val="18"/>
          <w:vertAlign w:val="superscript"/>
        </w:rPr>
        <w:t xml:space="preserve">1/2</w:t>
      </w:r>
      <w:r>
        <w:rPr>
          <w:sz w:val="18"/>
          <w:szCs w:val="18"/>
        </w:rPr>
        <w:t xml:space="preserve">/</w:t>
      </w:r>
      <w:r>
        <w:rPr>
          <w:i/>
          <w:iCs/>
          <w:sz w:val="18"/>
          <w:szCs w:val="18"/>
        </w:rPr>
        <w:t xml:space="preserve">ω</w:t>
      </w:r>
      <w:r>
        <w:rPr>
          <w:i/>
          <w:iCs/>
          <w:sz w:val="18"/>
          <w:szCs w:val="18"/>
          <w:vertAlign w:val="subscript"/>
        </w:rPr>
        <w:t xml:space="preserve">n</w:t>
      </w:r>
      <w:r>
        <w:rPr>
          <w:sz w:val="18"/>
          <w:szCs w:val="18"/>
        </w:rPr>
        <w:t xml:space="preserve"> (Eq. 12), for </w:t>
      </w:r>
      <w:r>
        <w:rPr>
          <w:i/>
          <w:iCs/>
          <w:sz w:val="18"/>
          <w:szCs w:val="18"/>
        </w:rPr>
        <w:t xml:space="preserve">T</w:t>
      </w:r>
      <w:r>
        <w:rPr>
          <w:sz w:val="18"/>
          <w:szCs w:val="18"/>
        </w:rPr>
        <w:t xml:space="preserve"> = 310 K. They do not depend on damping. Δ</w:t>
      </w:r>
      <w:r>
        <w:rPr>
          <w:i/>
          <w:iCs/>
          <w:sz w:val="18"/>
          <w:szCs w:val="18"/>
        </w:rPr>
        <w:t xml:space="preserve">x</w:t>
      </w:r>
      <w:r>
        <w:rPr>
          <w:sz w:val="18"/>
          <w:szCs w:val="18"/>
        </w:rPr>
        <w:t xml:space="preserve"> (pore width) and Δ</w:t>
      </w:r>
      <w:r>
        <w:rPr>
          <w:i/>
          <w:iCs/>
          <w:sz w:val="18"/>
          <w:szCs w:val="18"/>
        </w:rPr>
        <w:t xml:space="preserve">y</w:t>
      </w:r>
      <w:r>
        <w:rPr>
          <w:sz w:val="18"/>
          <w:szCs w:val="18"/>
        </w:rPr>
        <w:t xml:space="preserve"> (asymmetric shift) are defined by Eqs. (8)–(9) at the upper ends (top), centres (middle) and lower ends (bottom) of the two long rods. Sway and piston are the common sideways and common axial displacements of the centres of the two long rods, (</w:t>
      </w:r>
      <w:r>
        <w:rPr>
          <w:i/>
          <w:iCs/>
          <w:sz w:val="18"/>
          <w:szCs w:val="18"/>
        </w:rPr>
        <w:t xml:space="preserve">x</w:t>
      </w:r>
      <w:r>
        <w:rPr>
          <w:i/>
          <w:iCs/>
          <w:sz w:val="18"/>
          <w:szCs w:val="18"/>
          <w:vertAlign w:val="subscript"/>
        </w:rPr>
        <w:t xml:space="preserve">1</w:t>
      </w:r>
      <w:r>
        <w:rPr>
          <w:sz w:val="18"/>
          <w:szCs w:val="18"/>
        </w:rPr>
        <w:t xml:space="preserve"> + </w:t>
      </w:r>
      <w:r>
        <w:rPr>
          <w:i/>
          <w:iCs/>
          <w:sz w:val="18"/>
          <w:szCs w:val="18"/>
        </w:rPr>
        <w:t xml:space="preserve">x</w:t>
      </w:r>
      <w:r>
        <w:rPr>
          <w:i/>
          <w:iCs/>
          <w:sz w:val="18"/>
          <w:szCs w:val="18"/>
          <w:vertAlign w:val="subscript"/>
        </w:rPr>
        <w:t xml:space="preserve">2</w:t>
      </w:r>
      <w:r>
        <w:rPr>
          <w:sz w:val="18"/>
          <w:szCs w:val="18"/>
        </w:rPr>
        <w:t xml:space="preserve">)/2 and (</w:t>
      </w:r>
      <w:r>
        <w:rPr>
          <w:i/>
          <w:iCs/>
          <w:sz w:val="18"/>
          <w:szCs w:val="18"/>
        </w:rPr>
        <w:t xml:space="preserve">y</w:t>
      </w:r>
      <w:r>
        <w:rPr>
          <w:i/>
          <w:iCs/>
          <w:sz w:val="18"/>
          <w:szCs w:val="18"/>
          <w:vertAlign w:val="subscript"/>
        </w:rPr>
        <w:t xml:space="preserve">1</w:t>
      </w:r>
      <w:r>
        <w:rPr>
          <w:sz w:val="18"/>
          <w:szCs w:val="18"/>
        </w:rPr>
        <w:t xml:space="preserve"> + </w:t>
      </w:r>
      <w:r>
        <w:rPr>
          <w:i/>
          <w:iCs/>
          <w:sz w:val="18"/>
          <w:szCs w:val="18"/>
        </w:rPr>
        <w:t xml:space="preserve">y</w:t>
      </w:r>
      <w:r>
        <w:rPr>
          <w:i/>
          <w:iCs/>
          <w:sz w:val="18"/>
          <w:szCs w:val="18"/>
          <w:vertAlign w:val="subscript"/>
        </w:rPr>
        <w:t xml:space="preserve">2</w:t>
      </w:r>
      <w:r>
        <w:rPr>
          <w:sz w:val="18"/>
          <w:szCs w:val="18"/>
        </w:rPr>
        <w:t xml:space="preserve">)/2. Wall tilt and outer-rod tilt are the rotations of each long and each short rod (equal for the left and right rods by symmetry).</w:t>
      </w:r>
    </w:p>
    <w:p>
      <w:pPr>
        <w:spacing w:after="60" w:line="252"/>
      </w:pPr>
      <w:r>
        <w:rPr>
          <w:sz w:val="18"/>
          <w:szCs w:val="18"/>
        </w:rPr>
        <w:t xml:space="preserve">Mirror-symmetric modes (3, 4, 7, 8, 10, 12) change the width and the piston coordinate, with Δ</w:t>
      </w:r>
      <w:r>
        <w:rPr>
          <w:i/>
          <w:iCs/>
          <w:sz w:val="18"/>
          <w:szCs w:val="18"/>
        </w:rPr>
        <w:t xml:space="preserve">y</w:t>
      </w:r>
      <w:r>
        <w:rPr>
          <w:sz w:val="18"/>
          <w:szCs w:val="18"/>
        </w:rPr>
        <w:t xml:space="preserve"> and sway exactly zero; mirror-antisymmetric modes (5, 6, 9, 11) change Δ</w:t>
      </w:r>
      <w:r>
        <w:rPr>
          <w:i/>
          <w:iCs/>
          <w:sz w:val="18"/>
          <w:szCs w:val="18"/>
        </w:rPr>
        <w:t xml:space="preserve">y</w:t>
      </w:r>
      <w:r>
        <w:rPr>
          <w:sz w:val="18"/>
          <w:szCs w:val="18"/>
        </w:rPr>
        <w:t xml:space="preserve"> and the sway, with width and piston zero to first order. Last row: modes 3–12 combined (root sum of squares; the modes are statistically independent). The zero modes 1 and 2 are excluded, because their amplitude is not defined in the harmonic model; they change only Δ</w:t>
      </w:r>
      <w:r>
        <w:rPr>
          <w:i/>
          <w:iCs/>
          <w:sz w:val="18"/>
          <w:szCs w:val="18"/>
        </w:rPr>
        <w:t xml:space="preserve">y</w:t>
      </w:r>
      <w:r>
        <w:rPr>
          <w:sz w:val="18"/>
          <w:szCs w:val="18"/>
        </w:rPr>
        <w:t xml:space="preserve"> (Fig. S1).</w:t>
      </w:r>
    </w:p>
    <w:p>
      <w:r>
        <w:br w:type="page"/>
      </w:r>
    </w:p>
    <w:p>
      <w:pPr>
        <w:pStyle w:val="Heading1"/>
        <w:spacing w:after="120" w:before="240"/>
      </w:pPr>
      <w:r>
        <w:t xml:space="preserve">Table S3. Damping of the normal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250"/>
        <w:gridCol w:w="950"/>
        <w:gridCol w:w="900"/>
        <w:gridCol w:w="950"/>
        <w:gridCol w:w="950"/>
        <w:gridCol w:w="1150"/>
        <w:gridCol w:w="1250"/>
        <w:gridCol w:w="1588"/>
      </w:tblGrid>
      <w:tr>
        <w:trPr>
          <w:cantSplit/>
          <w:tblHeader/>
        </w:trPr>
        <w:tc>
          <w:tcPr>
            <w:tcW w:type="dxa" w:w="6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Mode</w:t>
            </w:r>
          </w:p>
        </w:tc>
        <w:tc>
          <w:tcPr>
            <w:tcW w:type="dxa" w:w="12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ω</w:t>
            </w:r>
            <w:r>
              <w:rPr>
                <w:b/>
                <w:bCs/>
                <w:i/>
                <w:iCs/>
                <w:sz w:val="17"/>
                <w:szCs w:val="17"/>
                <w:vertAlign w:val="subscript"/>
              </w:rPr>
              <w:t xml:space="preserve">n</w:t>
            </w:r>
          </w:p>
          <w:p>
            <w:pPr>
              <w:jc w:val="center"/>
            </w:pPr>
            <w:r>
              <w:rPr>
                <w:b/>
                <w:bCs/>
                <w:sz w:val="17"/>
                <w:szCs w:val="17"/>
              </w:rPr>
              <w:t xml:space="preserve">(rad s</w:t>
            </w:r>
            <w:r>
              <w:rPr>
                <w:b/>
                <w:bCs/>
                <w:sz w:val="17"/>
                <w:szCs w:val="17"/>
                <w:vertAlign w:val="superscript"/>
              </w:rPr>
              <w:t xml:space="preserve">−1</w:t>
            </w:r>
            <w:r>
              <w:rPr>
                <w:b/>
                <w:bCs/>
                <w:sz w:val="17"/>
                <w:szCs w:val="17"/>
              </w:rPr>
              <w:t xml:space="preserve">)</w:t>
            </w:r>
          </w:p>
        </w:tc>
        <w:tc>
          <w:tcPr>
            <w:tcW w:type="dxa" w:w="9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Q</w:t>
            </w:r>
            <w:r>
              <w:rPr>
                <w:b/>
                <w:bCs/>
                <w:sz w:val="17"/>
                <w:szCs w:val="17"/>
              </w:rPr>
              <w:t xml:space="preserve">, single sphere</w:t>
            </w:r>
          </w:p>
        </w:tc>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Q</w:t>
            </w:r>
            <w:r>
              <w:rPr>
                <w:b/>
                <w:bCs/>
                <w:sz w:val="17"/>
                <w:szCs w:val="17"/>
              </w:rPr>
              <w:t xml:space="preserve">, rods,</w:t>
            </w:r>
          </w:p>
          <w:p>
            <w:pPr>
              <w:jc w:val="center"/>
            </w:pPr>
            <w:r>
              <w:rPr>
                <w:b/>
                <w:bCs/>
                <w:sz w:val="17"/>
                <w:szCs w:val="17"/>
              </w:rPr>
              <w:t xml:space="preserve">water</w:t>
            </w:r>
          </w:p>
        </w:tc>
        <w:tc>
          <w:tcPr>
            <w:tcW w:type="dxa" w:w="9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Q</w:t>
            </w:r>
            <w:r>
              <w:rPr>
                <w:b/>
                <w:bCs/>
                <w:sz w:val="17"/>
                <w:szCs w:val="17"/>
              </w:rPr>
              <w:t xml:space="preserve">, rods,</w:t>
            </w:r>
          </w:p>
          <w:p>
            <w:pPr>
              <w:jc w:val="center"/>
            </w:pPr>
            <w:r>
              <w:rPr>
                <w:b/>
                <w:bCs/>
                <w:sz w:val="17"/>
                <w:szCs w:val="17"/>
              </w:rPr>
              <w:t xml:space="preserve">10× water</w:t>
            </w:r>
          </w:p>
        </w:tc>
        <w:tc>
          <w:tcPr>
            <w:tcW w:type="dxa" w:w="9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Q</w:t>
            </w:r>
            <w:r>
              <w:rPr>
                <w:b/>
                <w:bCs/>
                <w:sz w:val="17"/>
                <w:szCs w:val="17"/>
              </w:rPr>
              <w:t xml:space="preserve">, rods,</w:t>
            </w:r>
          </w:p>
          <w:p>
            <w:pPr>
              <w:jc w:val="center"/>
            </w:pPr>
            <w:r>
              <w:rPr>
                <w:b/>
                <w:bCs/>
                <w:sz w:val="17"/>
                <w:szCs w:val="17"/>
              </w:rPr>
              <w:t xml:space="preserve">100× water</w:t>
            </w:r>
          </w:p>
        </w:tc>
        <w:tc>
          <w:tcPr>
            <w:tcW w:type="dxa" w:w="11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i/>
                <w:iCs/>
                <w:sz w:val="17"/>
                <w:szCs w:val="17"/>
              </w:rPr>
              <w:t xml:space="preserve">η</w:t>
            </w:r>
            <w:r>
              <w:rPr>
                <w:b/>
                <w:bCs/>
                <w:sz w:val="17"/>
                <w:szCs w:val="17"/>
              </w:rPr>
              <w:t xml:space="preserve"> for critical damping (mPa s)</w:t>
            </w:r>
          </w:p>
        </w:tc>
        <w:tc>
          <w:tcPr>
            <w:tcW w:type="dxa" w:w="12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Relaxation time in water, modal (ps)</w:t>
            </w:r>
          </w:p>
        </w:tc>
        <w:tc>
          <w:tcPr>
            <w:tcW w:type="dxa" w:w="1588"/>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Relaxation time in water, full solution (ps) [mode weight]</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3</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5.58×10</w:t>
            </w:r>
            <w:r>
              <w:rPr>
                <w:sz w:val="17"/>
                <w:szCs w:val="17"/>
                <w:vertAlign w:val="superscript"/>
              </w:rPr>
              <w:t xml:space="preserve">10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0.012</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0.017</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0.0017</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0.00017</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0.023</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1100</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1100 [1.00]</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4</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1.56×10</w:t>
            </w:r>
            <w:r>
              <w:rPr>
                <w:sz w:val="17"/>
                <w:szCs w:val="17"/>
                <w:vertAlign w:val="superscript"/>
              </w:rPr>
              <w:t xml:space="preserve">11</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0.034</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0.059</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0.0059</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0.00059</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0.083</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110 [1.00]</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5</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4.50×10</w:t>
            </w:r>
            <w:r>
              <w:rPr>
                <w:sz w:val="17"/>
                <w:szCs w:val="17"/>
                <w:vertAlign w:val="superscript"/>
              </w:rPr>
              <w:t xml:space="preserve">11</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0.097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0.13</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0.013</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0.0013</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0.19</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16</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17 [0.94]</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6</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8.19×10</w:t>
            </w:r>
            <w:r>
              <w:rPr>
                <w:sz w:val="17"/>
                <w:szCs w:val="17"/>
                <w:vertAlign w:val="superscript"/>
              </w:rPr>
              <w:t xml:space="preserve">11</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0.18</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0.098</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0.0098</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0.00098</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0.14</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12</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11 [0.55]</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7</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9.24×10</w:t>
            </w:r>
            <w:r>
              <w:rPr>
                <w:sz w:val="17"/>
                <w:szCs w:val="17"/>
                <w:vertAlign w:val="superscript"/>
              </w:rPr>
              <w:t xml:space="preserve">11</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0.20</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0.22</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0.022</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0.0022</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0.31</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4.6</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5.5 [0.86]</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8</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1.52×10</w:t>
            </w:r>
            <w:r>
              <w:rPr>
                <w:sz w:val="17"/>
                <w:szCs w:val="17"/>
                <w:vertAlign w:val="superscript"/>
              </w:rPr>
              <w:t xml:space="preserve">12</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0.33</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0.020</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0.0020</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0.28</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3.2</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2.3 [0.31]</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9</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1.58×10</w:t>
            </w:r>
            <w:r>
              <w:rPr>
                <w:sz w:val="17"/>
                <w:szCs w:val="17"/>
                <w:vertAlign w:val="superscript"/>
              </w:rPr>
              <w:t xml:space="preserve">12</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0.34</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0.0024</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0.34</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2.4</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2.4 [0.96]</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10</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1.69×10</w:t>
            </w:r>
            <w:r>
              <w:rPr>
                <w:sz w:val="17"/>
                <w:szCs w:val="17"/>
                <w:vertAlign w:val="superscript"/>
              </w:rPr>
              <w:t xml:space="preserve">12</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0.26</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0.026</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0.0026</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0.36</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2.1</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2.0 [0.40]</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11</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1.24×10</w:t>
            </w:r>
            <w:r>
              <w:rPr>
                <w:sz w:val="17"/>
                <w:szCs w:val="17"/>
                <w:vertAlign w:val="superscript"/>
              </w:rPr>
              <w:t xml:space="preserve">13</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0.014</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1.9</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oscillatory</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oscillatory</w:t>
            </w:r>
          </w:p>
        </w:tc>
      </w:tr>
      <w:tr>
        <w:trPr>
          <w:cantSplit/>
          <w:tblHeader w:val="off"/>
        </w:trPr>
        <w:tc>
          <w:tcPr>
            <w:tcW w:type="dxa" w:w="6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12</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1.25×10</w:t>
            </w:r>
            <w:r>
              <w:rPr>
                <w:sz w:val="17"/>
                <w:szCs w:val="17"/>
                <w:vertAlign w:val="superscript"/>
              </w:rPr>
              <w:t xml:space="preserve">13</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2.7</w:t>
            </w:r>
          </w:p>
        </w:tc>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0.14</w:t>
            </w:r>
          </w:p>
        </w:tc>
        <w:tc>
          <w:tcPr>
            <w:tcW w:type="dxa" w:w="9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0.014</w:t>
            </w:r>
          </w:p>
        </w:tc>
        <w:tc>
          <w:tcPr>
            <w:tcW w:type="dxa" w:w="11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1.9</w:t>
            </w:r>
          </w:p>
        </w:tc>
        <w:tc>
          <w:tcPr>
            <w:tcW w:type="dxa" w:w="12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oscillatory</w:t>
            </w:r>
          </w:p>
        </w:tc>
        <w:tc>
          <w:tcPr>
            <w:tcW w:type="dxa" w:w="158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oscillatory</w:t>
            </w:r>
          </w:p>
        </w:tc>
      </w:tr>
    </w:tbl>
    <w:p>
      <w:pPr>
        <w:spacing w:after="60" w:line="252"/>
      </w:pPr>
      <w:r>
        <w:rPr>
          <w:sz w:val="18"/>
          <w:szCs w:val="18"/>
        </w:rPr>
        <w:t xml:space="preserve">Single sphere: </w:t>
      </w:r>
      <w:r>
        <w:rPr>
          <w:i/>
          <w:iCs/>
          <w:sz w:val="18"/>
          <w:szCs w:val="18"/>
        </w:rPr>
        <w:t xml:space="preserve">Q</w:t>
      </w:r>
      <w:r>
        <w:rPr>
          <w:sz w:val="18"/>
          <w:szCs w:val="18"/>
        </w:rPr>
        <w:t xml:space="preserve"> = </w:t>
      </w:r>
      <w:r>
        <w:rPr>
          <w:i/>
          <w:iCs/>
          <w:sz w:val="18"/>
          <w:szCs w:val="18"/>
        </w:rPr>
        <w:t xml:space="preserve">mω</w:t>
      </w:r>
      <w:r>
        <w:rPr>
          <w:i/>
          <w:iCs/>
          <w:sz w:val="18"/>
          <w:szCs w:val="18"/>
          <w:vertAlign w:val="subscript"/>
        </w:rPr>
        <w:t xml:space="preserve">n</w:t>
      </w:r>
      <w:r>
        <w:rPr>
          <w:sz w:val="18"/>
          <w:szCs w:val="18"/>
        </w:rPr>
        <w:t xml:space="preserve">/</w:t>
      </w:r>
      <w:r>
        <w:rPr>
          <w:i/>
          <w:iCs/>
          <w:sz w:val="18"/>
          <w:szCs w:val="18"/>
        </w:rPr>
        <w:t xml:space="preserve">γ</w:t>
      </w:r>
      <w:r>
        <w:rPr>
          <w:sz w:val="18"/>
          <w:szCs w:val="18"/>
        </w:rPr>
        <w:t xml:space="preserve"> with </w:t>
      </w:r>
      <w:r>
        <w:rPr>
          <w:i/>
          <w:iCs/>
          <w:sz w:val="18"/>
          <w:szCs w:val="18"/>
        </w:rPr>
        <w:t xml:space="preserve">m</w:t>
      </w:r>
      <w:r>
        <w:rPr>
          <w:sz w:val="18"/>
          <w:szCs w:val="18"/>
        </w:rPr>
        <w:t xml:space="preserve"> = 4.32×10</w:t>
      </w:r>
      <w:r>
        <w:rPr>
          <w:sz w:val="18"/>
          <w:szCs w:val="18"/>
          <w:vertAlign w:val="superscript"/>
        </w:rPr>
        <w:t xml:space="preserve">−24</w:t>
      </w:r>
      <w:r>
        <w:rPr>
          <w:sz w:val="18"/>
          <w:szCs w:val="18"/>
        </w:rPr>
        <w:t xml:space="preserve"> kg and a Stokes friction coefficient </w:t>
      </w:r>
      <w:r>
        <w:rPr>
          <w:i/>
          <w:iCs/>
          <w:sz w:val="18"/>
          <w:szCs w:val="18"/>
        </w:rPr>
        <w:t xml:space="preserve">γ</w:t>
      </w:r>
      <w:r>
        <w:rPr>
          <w:sz w:val="18"/>
          <w:szCs w:val="18"/>
        </w:rPr>
        <w:t xml:space="preserve"> = 2×10</w:t>
      </w:r>
      <w:r>
        <w:rPr>
          <w:sz w:val="18"/>
          <w:szCs w:val="18"/>
          <w:vertAlign w:val="superscript"/>
        </w:rPr>
        <w:t xml:space="preserve">−11</w:t>
      </w:r>
      <w:r>
        <w:rPr>
          <w:sz w:val="18"/>
          <w:szCs w:val="18"/>
        </w:rPr>
        <w:t xml:space="preserve"> kg s</w:t>
      </w:r>
      <w:r>
        <w:rPr>
          <w:sz w:val="18"/>
          <w:szCs w:val="18"/>
          <w:vertAlign w:val="superscript"/>
        </w:rPr>
        <w:t xml:space="preserve">−1</w:t>
      </w:r>
      <w:r>
        <w:rPr>
          <w:sz w:val="18"/>
          <w:szCs w:val="18"/>
        </w:rPr>
        <w:t xml:space="preserve">, the order-of-magnitude estimate for one protein element. Rods: each rod is treated as a rigid cylinder of its length and a diameter of 1 nm, with translational friction parallel and perpendicular to its axis and rotational friction from the cylinder formulas of Tirado, Martínez and García de la Torre; the resulting 12×12 friction matrix Γ is projected on each mode, </w:t>
      </w:r>
      <w:r>
        <w:rPr>
          <w:i/>
          <w:iCs/>
          <w:sz w:val="18"/>
          <w:szCs w:val="18"/>
        </w:rPr>
        <w:t xml:space="preserve">Q</w:t>
      </w:r>
      <w:r>
        <w:rPr>
          <w:i/>
          <w:iCs/>
          <w:sz w:val="18"/>
          <w:szCs w:val="18"/>
          <w:vertAlign w:val="subscript"/>
        </w:rPr>
        <w:t xml:space="preserve">n</w:t>
      </w:r>
      <w:r>
        <w:rPr>
          <w:sz w:val="18"/>
          <w:szCs w:val="18"/>
        </w:rPr>
        <w:t xml:space="preserve"> = </w:t>
      </w:r>
      <w:r>
        <w:rPr>
          <w:i/>
          <w:iCs/>
          <w:sz w:val="18"/>
          <w:szCs w:val="18"/>
        </w:rPr>
        <w:t xml:space="preserve">ω</w:t>
      </w:r>
      <w:r>
        <w:rPr>
          <w:i/>
          <w:iCs/>
          <w:sz w:val="18"/>
          <w:szCs w:val="18"/>
          <w:vertAlign w:val="subscript"/>
        </w:rPr>
        <w:t xml:space="preserve">n</w:t>
      </w:r>
      <w:r>
        <w:rPr>
          <w:sz w:val="18"/>
          <w:szCs w:val="18"/>
        </w:rPr>
        <w:t xml:space="preserve">/(</w:t>
      </w:r>
      <w:r>
        <w:rPr>
          <w:i/>
          <w:iCs/>
          <w:sz w:val="18"/>
          <w:szCs w:val="18"/>
        </w:rPr>
        <w:t xml:space="preserve">v</w:t>
      </w:r>
      <w:r>
        <w:rPr>
          <w:i/>
          <w:iCs/>
          <w:sz w:val="18"/>
          <w:szCs w:val="18"/>
          <w:vertAlign w:val="subscript"/>
        </w:rPr>
        <w:t xml:space="preserve">n</w:t>
      </w:r>
      <w:r>
        <w:rPr>
          <w:sz w:val="18"/>
          <w:szCs w:val="18"/>
          <w:vertAlign w:val="superscript"/>
        </w:rPr>
        <w:t xml:space="preserve">T</w:t>
      </w:r>
      <w:r>
        <w:rPr>
          <w:sz w:val="18"/>
          <w:szCs w:val="18"/>
        </w:rPr>
        <w:t xml:space="preserve"> Γ̃ </w:t>
      </w:r>
      <w:r>
        <w:rPr>
          <w:i/>
          <w:iCs/>
          <w:sz w:val="18"/>
          <w:szCs w:val="18"/>
        </w:rPr>
        <w:t xml:space="preserve">v</w:t>
      </w:r>
      <w:r>
        <w:rPr>
          <w:i/>
          <w:iCs/>
          <w:sz w:val="18"/>
          <w:szCs w:val="18"/>
          <w:vertAlign w:val="subscript"/>
        </w:rPr>
        <w:t xml:space="preserve">n</w:t>
      </w:r>
      <w:r>
        <w:rPr>
          <w:sz w:val="18"/>
          <w:szCs w:val="18"/>
        </w:rPr>
        <w:t xml:space="preserve">) (Eq. 14). Water: </w:t>
      </w:r>
      <w:r>
        <w:rPr>
          <w:i/>
          <w:iCs/>
          <w:sz w:val="18"/>
          <w:szCs w:val="18"/>
        </w:rPr>
        <w:t xml:space="preserve">η</w:t>
      </w:r>
      <w:r>
        <w:rPr>
          <w:sz w:val="18"/>
          <w:szCs w:val="18"/>
        </w:rPr>
        <w:t xml:space="preserve"> = 0.7 mPa s (310 K). A mode is underdamped (oscillates) only for </w:t>
      </w:r>
      <w:r>
        <w:rPr>
          <w:i/>
          <w:iCs/>
          <w:sz w:val="18"/>
          <w:szCs w:val="18"/>
        </w:rPr>
        <w:t xml:space="preserve">Q</w:t>
      </w:r>
      <w:r>
        <w:rPr>
          <w:i/>
          <w:iCs/>
          <w:sz w:val="18"/>
          <w:szCs w:val="18"/>
          <w:vertAlign w:val="subscript"/>
        </w:rPr>
        <w:t xml:space="preserve">n</w:t>
      </w:r>
      <w:r>
        <w:rPr>
          <w:sz w:val="18"/>
          <w:szCs w:val="18"/>
        </w:rPr>
        <w:t xml:space="preserve"> &gt; 1/2; the critical viscosity is the viscosity at which </w:t>
      </w:r>
      <w:r>
        <w:rPr>
          <w:i/>
          <w:iCs/>
          <w:sz w:val="18"/>
          <w:szCs w:val="18"/>
        </w:rPr>
        <w:t xml:space="preserve">Q</w:t>
      </w:r>
      <w:r>
        <w:rPr>
          <w:i/>
          <w:iCs/>
          <w:sz w:val="18"/>
          <w:szCs w:val="18"/>
          <w:vertAlign w:val="subscript"/>
        </w:rPr>
        <w:t xml:space="preserve">n</w:t>
      </w:r>
      <w:r>
        <w:rPr>
          <w:sz w:val="18"/>
          <w:szCs w:val="18"/>
        </w:rPr>
        <w:t xml:space="preserve"> = 1/2.</w:t>
      </w:r>
    </w:p>
    <w:p>
      <w:pPr>
        <w:spacing w:after="60" w:line="252"/>
      </w:pPr>
      <w:r>
        <w:rPr>
          <w:sz w:val="18"/>
          <w:szCs w:val="18"/>
        </w:rPr>
        <w:t xml:space="preserve">Relaxation times. Modal: the slow root of the single-mode equation </w:t>
      </w:r>
      <w:r>
        <w:rPr>
          <w:i/>
          <w:iCs/>
          <w:sz w:val="18"/>
          <w:szCs w:val="18"/>
        </w:rPr>
        <w:t xml:space="preserve">ζ̈</w:t>
      </w:r>
      <w:r>
        <w:rPr>
          <w:i/>
          <w:iCs/>
          <w:sz w:val="18"/>
          <w:szCs w:val="18"/>
          <w:vertAlign w:val="subscript"/>
        </w:rPr>
        <w:t xml:space="preserve">n</w:t>
      </w:r>
      <w:r>
        <w:rPr>
          <w:sz w:val="18"/>
          <w:szCs w:val="18"/>
        </w:rPr>
        <w:t xml:space="preserve"> + </w:t>
      </w:r>
      <w:r>
        <w:rPr>
          <w:i/>
          <w:iCs/>
          <w:sz w:val="18"/>
          <w:szCs w:val="18"/>
        </w:rPr>
        <w:t xml:space="preserve">γ</w:t>
      </w:r>
      <w:r>
        <w:rPr>
          <w:i/>
          <w:iCs/>
          <w:sz w:val="18"/>
          <w:szCs w:val="18"/>
          <w:vertAlign w:val="subscript"/>
        </w:rPr>
        <w:t xml:space="preserve">n</w:t>
      </w:r>
      <w:r>
        <w:rPr>
          <w:i/>
          <w:iCs/>
          <w:sz w:val="18"/>
          <w:szCs w:val="18"/>
        </w:rPr>
        <w:t xml:space="preserve">ζ̇</w:t>
      </w:r>
      <w:r>
        <w:rPr>
          <w:i/>
          <w:iCs/>
          <w:sz w:val="18"/>
          <w:szCs w:val="18"/>
          <w:vertAlign w:val="subscript"/>
        </w:rPr>
        <w:t xml:space="preserve">n</w:t>
      </w:r>
      <w:r>
        <w:rPr>
          <w:sz w:val="18"/>
          <w:szCs w:val="18"/>
        </w:rPr>
        <w:t xml:space="preserve"> + </w:t>
      </w:r>
      <w:r>
        <w:rPr>
          <w:i/>
          <w:iCs/>
          <w:sz w:val="18"/>
          <w:szCs w:val="18"/>
        </w:rPr>
        <w:t xml:space="preserve">ω</w:t>
      </w:r>
      <w:r>
        <w:rPr>
          <w:i/>
          <w:iCs/>
          <w:sz w:val="18"/>
          <w:szCs w:val="18"/>
          <w:vertAlign w:val="subscript"/>
        </w:rPr>
        <w:t xml:space="preserve">n</w:t>
      </w:r>
      <w:r>
        <w:rPr>
          <w:sz w:val="18"/>
          <w:szCs w:val="18"/>
          <w:vertAlign w:val="superscript"/>
        </w:rPr>
        <w:t xml:space="preserve">2</w:t>
      </w:r>
      <w:r>
        <w:rPr>
          <w:i/>
          <w:iCs/>
          <w:sz w:val="18"/>
          <w:szCs w:val="18"/>
        </w:rPr>
        <w:t xml:space="preserve">ζ</w:t>
      </w:r>
      <w:r>
        <w:rPr>
          <w:i/>
          <w:iCs/>
          <w:sz w:val="18"/>
          <w:szCs w:val="18"/>
          <w:vertAlign w:val="subscript"/>
        </w:rPr>
        <w:t xml:space="preserve">n</w:t>
      </w:r>
      <w:r>
        <w:rPr>
          <w:sz w:val="18"/>
          <w:szCs w:val="18"/>
        </w:rPr>
        <w:t xml:space="preserve"> = 0 with </w:t>
      </w:r>
      <w:r>
        <w:rPr>
          <w:i/>
          <w:iCs/>
          <w:sz w:val="18"/>
          <w:szCs w:val="18"/>
        </w:rPr>
        <w:t xml:space="preserve">γ</w:t>
      </w:r>
      <w:r>
        <w:rPr>
          <w:i/>
          <w:iCs/>
          <w:sz w:val="18"/>
          <w:szCs w:val="18"/>
          <w:vertAlign w:val="subscript"/>
        </w:rPr>
        <w:t xml:space="preserve">n</w:t>
      </w:r>
      <w:r>
        <w:rPr>
          <w:sz w:val="18"/>
          <w:szCs w:val="18"/>
        </w:rPr>
        <w:t xml:space="preserve"> = </w:t>
      </w:r>
      <w:r>
        <w:rPr>
          <w:i/>
          <w:iCs/>
          <w:sz w:val="18"/>
          <w:szCs w:val="18"/>
        </w:rPr>
        <w:t xml:space="preserve">ω</w:t>
      </w:r>
      <w:r>
        <w:rPr>
          <w:i/>
          <w:iCs/>
          <w:sz w:val="18"/>
          <w:szCs w:val="18"/>
          <w:vertAlign w:val="subscript"/>
        </w:rPr>
        <w:t xml:space="preserve">n</w:t>
      </w:r>
      <w:r>
        <w:rPr>
          <w:sz w:val="18"/>
          <w:szCs w:val="18"/>
        </w:rPr>
        <w:t xml:space="preserve">/</w:t>
      </w:r>
      <w:r>
        <w:rPr>
          <w:i/>
          <w:iCs/>
          <w:sz w:val="18"/>
          <w:szCs w:val="18"/>
        </w:rPr>
        <w:t xml:space="preserve">Q</w:t>
      </w:r>
      <w:r>
        <w:rPr>
          <w:i/>
          <w:iCs/>
          <w:sz w:val="18"/>
          <w:szCs w:val="18"/>
          <w:vertAlign w:val="subscript"/>
        </w:rPr>
        <w:t xml:space="preserve">n</w:t>
      </w:r>
      <w:r>
        <w:rPr>
          <w:sz w:val="18"/>
          <w:szCs w:val="18"/>
        </w:rPr>
        <w:t xml:space="preserve">, i.e. </w:t>
      </w:r>
      <w:r>
        <w:rPr>
          <w:i/>
          <w:iCs/>
          <w:sz w:val="18"/>
          <w:szCs w:val="18"/>
        </w:rPr>
        <w:t xml:space="preserve">τ</w:t>
      </w:r>
      <w:r>
        <w:rPr>
          <w:i/>
          <w:iCs/>
          <w:sz w:val="18"/>
          <w:szCs w:val="18"/>
          <w:vertAlign w:val="subscript"/>
        </w:rPr>
        <w:t xml:space="preserve">n</w:t>
      </w:r>
      <w:r>
        <w:rPr>
          <w:sz w:val="18"/>
          <w:szCs w:val="18"/>
        </w:rPr>
        <w:t xml:space="preserve"> = 2/[</w:t>
      </w:r>
      <w:r>
        <w:rPr>
          <w:i/>
          <w:iCs/>
          <w:sz w:val="18"/>
          <w:szCs w:val="18"/>
        </w:rPr>
        <w:t xml:space="preserve">γ</w:t>
      </w:r>
      <w:r>
        <w:rPr>
          <w:i/>
          <w:iCs/>
          <w:sz w:val="18"/>
          <w:szCs w:val="18"/>
          <w:vertAlign w:val="subscript"/>
        </w:rPr>
        <w:t xml:space="preserve">n</w:t>
      </w:r>
      <w:r>
        <w:rPr>
          <w:sz w:val="18"/>
          <w:szCs w:val="18"/>
        </w:rPr>
        <w:t xml:space="preserve"> − (</w:t>
      </w:r>
      <w:r>
        <w:rPr>
          <w:i/>
          <w:iCs/>
          <w:sz w:val="18"/>
          <w:szCs w:val="18"/>
        </w:rPr>
        <w:t xml:space="preserve">γ</w:t>
      </w:r>
      <w:r>
        <w:rPr>
          <w:i/>
          <w:iCs/>
          <w:sz w:val="18"/>
          <w:szCs w:val="18"/>
          <w:vertAlign w:val="subscript"/>
        </w:rPr>
        <w:t xml:space="preserve">n</w:t>
      </w:r>
      <w:r>
        <w:rPr>
          <w:sz w:val="18"/>
          <w:szCs w:val="18"/>
          <w:vertAlign w:val="superscript"/>
        </w:rPr>
        <w:t xml:space="preserve">2</w:t>
      </w:r>
      <w:r>
        <w:rPr>
          <w:sz w:val="18"/>
          <w:szCs w:val="18"/>
        </w:rPr>
        <w:t xml:space="preserve"> − 4</w:t>
      </w:r>
      <w:r>
        <w:rPr>
          <w:i/>
          <w:iCs/>
          <w:sz w:val="18"/>
          <w:szCs w:val="18"/>
        </w:rPr>
        <w:t xml:space="preserve">ω</w:t>
      </w:r>
      <w:r>
        <w:rPr>
          <w:i/>
          <w:iCs/>
          <w:sz w:val="18"/>
          <w:szCs w:val="18"/>
          <w:vertAlign w:val="subscript"/>
        </w:rPr>
        <w:t xml:space="preserve">n</w:t>
      </w:r>
      <w:r>
        <w:rPr>
          <w:sz w:val="18"/>
          <w:szCs w:val="18"/>
          <w:vertAlign w:val="superscript"/>
        </w:rPr>
        <w:t xml:space="preserve">2</w:t>
      </w:r>
      <w:r>
        <w:rPr>
          <w:sz w:val="18"/>
          <w:szCs w:val="18"/>
        </w:rPr>
        <w:t xml:space="preserve">)</w:t>
      </w:r>
      <w:r>
        <w:rPr>
          <w:sz w:val="18"/>
          <w:szCs w:val="18"/>
          <w:vertAlign w:val="superscript"/>
        </w:rPr>
        <w:t xml:space="preserve">1/2</w:t>
      </w:r>
      <w:r>
        <w:rPr>
          <w:sz w:val="18"/>
          <w:szCs w:val="18"/>
        </w:rPr>
        <w:t xml:space="preserve">] ≈ 1/(</w:t>
      </w:r>
      <w:r>
        <w:rPr>
          <w:i/>
          <w:iCs/>
          <w:sz w:val="18"/>
          <w:szCs w:val="18"/>
        </w:rPr>
        <w:t xml:space="preserve">Q</w:t>
      </w:r>
      <w:r>
        <w:rPr>
          <w:i/>
          <w:iCs/>
          <w:sz w:val="18"/>
          <w:szCs w:val="18"/>
          <w:vertAlign w:val="subscript"/>
        </w:rPr>
        <w:t xml:space="preserve">n</w:t>
      </w:r>
      <w:r>
        <w:rPr>
          <w:i/>
          <w:iCs/>
          <w:sz w:val="18"/>
          <w:szCs w:val="18"/>
        </w:rPr>
        <w:t xml:space="preserve">ω</w:t>
      </w:r>
      <w:r>
        <w:rPr>
          <w:i/>
          <w:iCs/>
          <w:sz w:val="18"/>
          <w:szCs w:val="18"/>
          <w:vertAlign w:val="subscript"/>
        </w:rPr>
        <w:t xml:space="preserve">n</w:t>
      </w:r>
      <w:r>
        <w:rPr>
          <w:sz w:val="18"/>
          <w:szCs w:val="18"/>
        </w:rPr>
        <w:t xml:space="preserve">) for </w:t>
      </w:r>
      <w:r>
        <w:rPr>
          <w:i/>
          <w:iCs/>
          <w:sz w:val="18"/>
          <w:szCs w:val="18"/>
        </w:rPr>
        <w:t xml:space="preserve">Q</w:t>
      </w:r>
      <w:r>
        <w:rPr>
          <w:i/>
          <w:iCs/>
          <w:sz w:val="18"/>
          <w:szCs w:val="18"/>
          <w:vertAlign w:val="subscript"/>
        </w:rPr>
        <w:t xml:space="preserve">n</w:t>
      </w:r>
      <w:r>
        <w:rPr>
          <w:sz w:val="18"/>
          <w:szCs w:val="18"/>
        </w:rPr>
        <w:t xml:space="preserve"> ≪ 1. Full solution: the friction matrix is not diagonal in the basis of the normal modes, so it couples modes of the same mirror symmetry. The damped equations of motion (Eq. 13 without noise) were therefore also solved without approximation; their solutions are e</w:t>
      </w:r>
      <w:r>
        <w:rPr>
          <w:i/>
          <w:iCs/>
          <w:sz w:val="18"/>
          <w:szCs w:val="18"/>
          <w:vertAlign w:val="superscript"/>
        </w:rPr>
        <w:t xml:space="preserve">st</w:t>
      </w:r>
      <w:r>
        <w:rPr>
          <w:sz w:val="18"/>
          <w:szCs w:val="18"/>
        </w:rPr>
        <w:t xml:space="preserve">, with </w:t>
      </w:r>
      <w:r>
        <w:rPr>
          <w:i/>
          <w:iCs/>
          <w:sz w:val="18"/>
          <w:szCs w:val="18"/>
        </w:rPr>
        <w:t xml:space="preserve">s</w:t>
      </w:r>
      <w:r>
        <w:rPr>
          <w:sz w:val="18"/>
          <w:szCs w:val="18"/>
        </w:rPr>
        <w:t xml:space="preserve"> the eigenvalues of the 24×24 matrix [[0, 1], [−</w:t>
      </w:r>
      <w:r>
        <w:rPr>
          <w:i/>
          <w:iCs/>
          <w:sz w:val="18"/>
          <w:szCs w:val="18"/>
        </w:rPr>
        <w:t xml:space="preserve">W</w:t>
      </w:r>
      <w:r>
        <w:rPr>
          <w:sz w:val="18"/>
          <w:szCs w:val="18"/>
          <w:vertAlign w:val="superscript"/>
        </w:rPr>
        <w:t xml:space="preserve">−1</w:t>
      </w:r>
      <w:r>
        <w:rPr>
          <w:i/>
          <w:iCs/>
          <w:sz w:val="18"/>
          <w:szCs w:val="18"/>
        </w:rPr>
        <w:t xml:space="preserve">H</w:t>
      </w:r>
      <w:r>
        <w:rPr>
          <w:sz w:val="18"/>
          <w:szCs w:val="18"/>
        </w:rPr>
        <w:t xml:space="preserve">, −</w:t>
      </w:r>
      <w:r>
        <w:rPr>
          <w:i/>
          <w:iCs/>
          <w:sz w:val="18"/>
          <w:szCs w:val="18"/>
        </w:rPr>
        <w:t xml:space="preserve">W</w:t>
      </w:r>
      <w:r>
        <w:rPr>
          <w:sz w:val="18"/>
          <w:szCs w:val="18"/>
          <w:vertAlign w:val="superscript"/>
        </w:rPr>
        <w:t xml:space="preserve">−1</w:t>
      </w:r>
      <w:r>
        <w:rPr>
          <w:sz w:val="18"/>
          <w:szCs w:val="18"/>
        </w:rPr>
        <w:t xml:space="preserve">Γ]] (</w:t>
      </w:r>
      <w:r>
        <w:rPr>
          <w:i/>
          <w:iCs/>
          <w:sz w:val="18"/>
          <w:szCs w:val="18"/>
        </w:rPr>
        <w:t xml:space="preserve">H</w:t>
      </w:r>
      <w:r>
        <w:rPr>
          <w:sz w:val="18"/>
          <w:szCs w:val="18"/>
        </w:rPr>
        <w:t xml:space="preserve"> = −</w:t>
      </w:r>
      <w:r>
        <w:rPr>
          <w:i/>
          <w:iCs/>
          <w:sz w:val="18"/>
          <w:szCs w:val="18"/>
        </w:rPr>
        <w:t xml:space="preserve">C</w:t>
      </w:r>
      <w:r>
        <w:rPr>
          <w:sz w:val="18"/>
          <w:szCs w:val="18"/>
        </w:rPr>
        <w:t xml:space="preserve">), and each real </w:t>
      </w:r>
      <w:r>
        <w:rPr>
          <w:i/>
          <w:iCs/>
          <w:sz w:val="18"/>
          <w:szCs w:val="18"/>
        </w:rPr>
        <w:t xml:space="preserve">s</w:t>
      </w:r>
      <w:r>
        <w:rPr>
          <w:sz w:val="18"/>
          <w:szCs w:val="18"/>
        </w:rPr>
        <w:t xml:space="preserve"> &lt; 0 is a relaxation with time 1/|</w:t>
      </w:r>
      <w:r>
        <w:rPr>
          <w:i/>
          <w:iCs/>
          <w:sz w:val="18"/>
          <w:szCs w:val="18"/>
        </w:rPr>
        <w:t xml:space="preserve">s</w:t>
      </w:r>
      <w:r>
        <w:rPr>
          <w:sz w:val="18"/>
          <w:szCs w:val="18"/>
        </w:rPr>
        <w:t xml:space="preserve">|. Each such solution is in general a mixture of normal modes; the mode weight is the squared projection of its (mass-weighted, normalised) displacement on </w:t>
      </w:r>
      <w:r>
        <w:rPr>
          <w:i/>
          <w:iCs/>
          <w:sz w:val="18"/>
          <w:szCs w:val="18"/>
        </w:rPr>
        <w:t xml:space="preserve">v</w:t>
      </w:r>
      <w:r>
        <w:rPr>
          <w:i/>
          <w:iCs/>
          <w:sz w:val="18"/>
          <w:szCs w:val="18"/>
          <w:vertAlign w:val="subscript"/>
        </w:rPr>
        <w:t xml:space="preserve">n</w:t>
      </w:r>
      <w:r>
        <w:rPr>
          <w:sz w:val="18"/>
          <w:szCs w:val="18"/>
        </w:rPr>
        <w:t xml:space="preserve"> (the weights of one solution sum to 1). For each mode the table gives the solution with the largest weight of that mode. Modes 3, 4, 5, 7 and 9 dominate their own solution (weight ≥ 0.86); mode 6 is mixed with mode 5 (0.55/0.37), and the two fastest of these solutions (2.3 and 2.0 ps) are mixtures of modes 7, 8 and 10, so mode 8 has no solution of its own. The relaxation times nevertheless span the same range, ≈2 ps to ≈1.1 ns. In water the exact solution has 2 oscillatory pairs (modes 11 and 12; damped frequency ≈ 1.08×10</w:t>
      </w:r>
      <w:r>
        <w:rPr>
          <w:sz w:val="18"/>
          <w:szCs w:val="18"/>
          <w:vertAlign w:val="superscript"/>
        </w:rPr>
        <w:t xml:space="preserve">13</w:t>
      </w:r>
      <w:r>
        <w:rPr>
          <w:sz w:val="18"/>
          <w:szCs w:val="18"/>
        </w:rPr>
        <w:t xml:space="preserve"> rad s</w:t>
      </w:r>
      <w:r>
        <w:rPr>
          <w:sz w:val="18"/>
          <w:szCs w:val="18"/>
          <w:vertAlign w:val="superscript"/>
        </w:rPr>
        <w:t xml:space="preserve">−1</w:t>
      </w:r>
      <w:r>
        <w:rPr>
          <w:sz w:val="18"/>
          <w:szCs w:val="18"/>
        </w:rPr>
        <w:t xml:space="preserve">); at 10× and 100× the viscosity of water no mode oscillates. These estimates are semi-quantitative: friction at picosecond time scales is frequency dependent, and the pore elements are only partly exposed to water (partial burial in protein and lipid increases the friction).</w:t>
      </w:r>
    </w:p>
    <w:p>
      <w:r>
        <w:br w:type="page"/>
      </w:r>
    </w:p>
    <w:p>
      <w:pPr>
        <w:pStyle w:val="Heading1"/>
        <w:spacing w:after="120" w:before="240"/>
      </w:pPr>
      <w:r>
        <w:t xml:space="preserve">Table S4. Sensitivity of frequencies and mode shapes to the spring constants</w:t>
      </w:r>
    </w:p>
    <w:p>
      <w:pPr>
        <w:spacing w:after="60" w:before="160"/>
      </w:pPr>
      <w:r>
        <w:rPr>
          <w:b/>
          <w:bCs/>
          <w:sz w:val="20"/>
          <w:szCs w:val="20"/>
        </w:rPr>
        <w:t xml:space="preserve">(a) Scaling of groups of springs: frequency ratio </w:t>
      </w:r>
      <w:r>
        <w:rPr>
          <w:b/>
          <w:bCs/>
          <w:i/>
          <w:iCs/>
          <w:sz w:val="20"/>
          <w:szCs w:val="20"/>
        </w:rPr>
        <w:t xml:space="preserve">ω</w:t>
      </w:r>
      <w:r>
        <w:rPr>
          <w:b/>
          <w:bCs/>
          <w:i/>
          <w:iCs/>
          <w:sz w:val="20"/>
          <w:szCs w:val="20"/>
          <w:vertAlign w:val="subscript"/>
        </w:rPr>
        <w:t xml:space="preserve">n</w:t>
      </w:r>
      <w:r>
        <w:rPr>
          <w:b/>
          <w:bCs/>
          <w:sz w:val="20"/>
          <w:szCs w:val="20"/>
        </w:rPr>
        <w:t xml:space="preserve">′/</w:t>
      </w:r>
      <w:r>
        <w:rPr>
          <w:b/>
          <w:bCs/>
          <w:i/>
          <w:iCs/>
          <w:sz w:val="20"/>
          <w:szCs w:val="20"/>
        </w:rPr>
        <w:t xml:space="preserve">ω</w:t>
      </w:r>
      <w:r>
        <w:rPr>
          <w:b/>
          <w:bCs/>
          <w:i/>
          <w:iCs/>
          <w:sz w:val="20"/>
          <w:szCs w:val="20"/>
          <w:vertAlign w:val="subscript"/>
        </w:rPr>
        <w:t xml:space="preser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8"/>
        <w:gridCol w:w="1050"/>
        <w:gridCol w:w="1050"/>
        <w:gridCol w:w="1050"/>
        <w:gridCol w:w="1050"/>
        <w:gridCol w:w="1050"/>
        <w:gridCol w:w="1050"/>
        <w:gridCol w:w="1050"/>
        <w:gridCol w:w="1050"/>
      </w:tblGrid>
      <w:tr>
        <w:trPr>
          <w:cantSplit/>
          <w:tblHeader/>
        </w:trPr>
        <w:tc>
          <w:tcPr>
            <w:tcW w:type="dxa" w:w="1238"/>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6"/>
                <w:szCs w:val="16"/>
              </w:rPr>
              <w:t xml:space="preserve">Mode</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1, 3–8</w:t>
            </w:r>
          </w:p>
          <w:p>
            <w:pPr>
              <w:jc w:val="center"/>
            </w:pPr>
            <w:r>
              <w:rPr>
                <w:b/>
                <w:bCs/>
                <w:sz w:val="16"/>
                <w:szCs w:val="16"/>
              </w:rPr>
              <w:t xml:space="preserve">×0.5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1, 3–8</w:t>
            </w:r>
          </w:p>
          <w:p>
            <w:pPr>
              <w:jc w:val="center"/>
            </w:pPr>
            <w:r>
              <w:rPr>
                <w:b/>
                <w:bCs/>
                <w:sz w:val="16"/>
                <w:szCs w:val="16"/>
              </w:rPr>
              <w:t xml:space="preserve">×1.5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w:t>
            </w:r>
          </w:p>
          <w:p>
            <w:pPr>
              <w:jc w:val="center"/>
            </w:pPr>
            <w:r>
              <w:rPr>
                <w:b/>
                <w:bCs/>
                <w:sz w:val="16"/>
                <w:szCs w:val="16"/>
              </w:rPr>
              <w:t xml:space="preserve">2</w:t>
            </w:r>
          </w:p>
          <w:p>
            <w:pPr>
              <w:jc w:val="center"/>
            </w:pPr>
            <w:r>
              <w:rPr>
                <w:b/>
                <w:bCs/>
                <w:sz w:val="16"/>
                <w:szCs w:val="16"/>
              </w:rPr>
              <w:t xml:space="preserve">×0.5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w:t>
            </w:r>
          </w:p>
          <w:p>
            <w:pPr>
              <w:jc w:val="center"/>
            </w:pPr>
            <w:r>
              <w:rPr>
                <w:b/>
                <w:bCs/>
                <w:sz w:val="16"/>
                <w:szCs w:val="16"/>
              </w:rPr>
              <w:t xml:space="preserve">2</w:t>
            </w:r>
          </w:p>
          <w:p>
            <w:pPr>
              <w:jc w:val="center"/>
            </w:pPr>
            <w:r>
              <w:rPr>
                <w:b/>
                <w:bCs/>
                <w:sz w:val="16"/>
                <w:szCs w:val="16"/>
              </w:rPr>
              <w:t xml:space="preserve">×1.5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9, 10</w:t>
            </w:r>
          </w:p>
          <w:p>
            <w:pPr>
              <w:jc w:val="center"/>
            </w:pPr>
            <w:r>
              <w:rPr>
                <w:b/>
                <w:bCs/>
                <w:sz w:val="16"/>
                <w:szCs w:val="16"/>
              </w:rPr>
              <w:t xml:space="preserve">×0.5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9, 10</w:t>
            </w:r>
          </w:p>
          <w:p>
            <w:pPr>
              <w:jc w:val="center"/>
            </w:pPr>
            <w:r>
              <w:rPr>
                <w:b/>
                <w:bCs/>
                <w:sz w:val="16"/>
                <w:szCs w:val="16"/>
              </w:rPr>
              <w:t xml:space="preserve">×1.5</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9, 10</w:t>
            </w:r>
          </w:p>
          <w:p>
            <w:pPr>
              <w:jc w:val="center"/>
            </w:pPr>
            <w:r>
              <w:rPr>
                <w:b/>
                <w:bCs/>
                <w:sz w:val="16"/>
                <w:szCs w:val="16"/>
              </w:rPr>
              <w:t xml:space="preserve">×10</w:t>
            </w:r>
          </w:p>
        </w:tc>
        <w:tc>
          <w:tcPr>
            <w:tcW w:type="dxa" w:w="105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6"/>
                <w:szCs w:val="16"/>
              </w:rPr>
              <w:t xml:space="preserve">Springs</w:t>
            </w:r>
          </w:p>
          <w:p>
            <w:pPr>
              <w:jc w:val="center"/>
            </w:pPr>
            <w:r>
              <w:rPr>
                <w:b/>
                <w:bCs/>
                <w:sz w:val="16"/>
                <w:szCs w:val="16"/>
              </w:rPr>
              <w:t xml:space="preserve"> 9, 10</w:t>
            </w:r>
          </w:p>
          <w:p>
            <w:pPr>
              <w:jc w:val="center"/>
            </w:pPr>
            <w:r>
              <w:rPr>
                <w:b/>
                <w:bCs/>
                <w:sz w:val="16"/>
                <w:szCs w:val="16"/>
              </w:rPr>
              <w:t xml:space="preserve">×100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3</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4</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0.749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1.162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0.904</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1.039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6</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0.721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1.197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0.955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1.013</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0.927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1.079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0.820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1.167</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1.224</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10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0.706</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1.223</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0.996</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11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1.224</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3.158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9.984</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12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1.001</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0.709</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1.224</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3.155</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9.973</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Min. overlap</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0.977</w:t>
            </w:r>
          </w:p>
          <w:p>
            <w:pPr>
              <w:jc w:val="center"/>
            </w:pPr>
            <w:r>
              <w:rPr>
                <w:sz w:val="16"/>
                <w:szCs w:val="16"/>
              </w:rPr>
              <w:t xml:space="preserve">(mode 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0.991</w:t>
            </w:r>
          </w:p>
          <w:p>
            <w:pPr>
              <w:jc w:val="center"/>
            </w:pPr>
            <w:r>
              <w:rPr>
                <w:sz w:val="16"/>
                <w:szCs w:val="16"/>
              </w:rPr>
              <w:t xml:space="preserve">(mode 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0.972</w:t>
            </w:r>
          </w:p>
          <w:p>
            <w:pPr>
              <w:jc w:val="center"/>
            </w:pPr>
            <w:r>
              <w:rPr>
                <w:sz w:val="16"/>
                <w:szCs w:val="16"/>
              </w:rPr>
              <w:t xml:space="preserve">(mode 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0.944</w:t>
            </w:r>
          </w:p>
          <w:p>
            <w:pPr>
              <w:jc w:val="center"/>
            </w:pPr>
            <w:r>
              <w:rPr>
                <w:sz w:val="16"/>
                <w:szCs w:val="16"/>
              </w:rPr>
              <w:t xml:space="preserve">(mode 8)</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p>
            <w:pPr>
              <w:jc w:val="center"/>
            </w:pPr>
            <w:r>
              <w:rPr>
                <w:sz w:val="16"/>
                <w:szCs w:val="16"/>
              </w:rPr>
              <w:t xml:space="preserve">(mode 10)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p>
            <w:pPr>
              <w:jc w:val="center"/>
            </w:pPr>
            <w:r>
              <w:rPr>
                <w:sz w:val="16"/>
                <w:szCs w:val="16"/>
              </w:rPr>
              <w:t xml:space="preserve">(mode 10)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p>
            <w:pPr>
              <w:jc w:val="center"/>
            </w:pPr>
            <w:r>
              <w:rPr>
                <w:sz w:val="16"/>
                <w:szCs w:val="16"/>
              </w:rPr>
              <w:t xml:space="preserve">(mode 10)</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1.000</w:t>
            </w:r>
          </w:p>
          <w:p>
            <w:pPr>
              <w:jc w:val="center"/>
            </w:pPr>
            <w:r>
              <w:rPr>
                <w:sz w:val="16"/>
                <w:szCs w:val="16"/>
              </w:rPr>
              <w:t xml:space="preserve">(mode 10)</w:t>
            </w:r>
          </w:p>
        </w:tc>
      </w:tr>
      <w:tr>
        <w:trPr>
          <w:cantSplit/>
          <w:tblHeader w:val="off"/>
        </w:trPr>
        <w:tc>
          <w:tcPr>
            <w:tcW w:type="dxa" w:w="1238"/>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6"/>
                <w:szCs w:val="16"/>
              </w:rPr>
              <w:t xml:space="preserve">Zero modes</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c>
          <w:tcPr>
            <w:tcW w:type="dxa" w:w="105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6"/>
                <w:szCs w:val="16"/>
              </w:rPr>
              <w:t xml:space="preserve">2</w:t>
            </w:r>
          </w:p>
        </w:tc>
      </w:tr>
    </w:tbl>
    <w:p>
      <w:pPr>
        <w:spacing w:after="60" w:line="252"/>
      </w:pPr>
      <w:r>
        <w:rPr>
          <w:sz w:val="18"/>
          <w:szCs w:val="18"/>
        </w:rPr>
        <w:t xml:space="preserve">Springs 1 and 3–8 (1 N m</w:t>
      </w:r>
      <w:r>
        <w:rPr>
          <w:sz w:val="18"/>
          <w:szCs w:val="18"/>
          <w:vertAlign w:val="superscript"/>
        </w:rPr>
        <w:t xml:space="preserve">−1</w:t>
      </w:r>
      <w:r>
        <w:rPr>
          <w:sz w:val="18"/>
          <w:szCs w:val="18"/>
        </w:rPr>
        <w:t xml:space="preserve">), spring 2 (2 N m</w:t>
      </w:r>
      <w:r>
        <w:rPr>
          <w:sz w:val="18"/>
          <w:szCs w:val="18"/>
          <w:vertAlign w:val="superscript"/>
        </w:rPr>
        <w:t xml:space="preserve">−1</w:t>
      </w:r>
      <w:r>
        <w:rPr>
          <w:sz w:val="18"/>
          <w:szCs w:val="18"/>
        </w:rPr>
        <w:t xml:space="preserve">) and springs 9 and 10 (100 N m</w:t>
      </w:r>
      <w:r>
        <w:rPr>
          <w:sz w:val="18"/>
          <w:szCs w:val="18"/>
          <w:vertAlign w:val="superscript"/>
        </w:rPr>
        <w:t xml:space="preserve">−1</w:t>
      </w:r>
      <w:r>
        <w:rPr>
          <w:sz w:val="18"/>
          <w:szCs w:val="18"/>
        </w:rPr>
        <w:t xml:space="preserve">) were scaled by the factor shown. Overlap: |</w:t>
      </w:r>
      <w:r>
        <w:rPr>
          <w:i/>
          <w:iCs/>
          <w:sz w:val="18"/>
          <w:szCs w:val="18"/>
        </w:rPr>
        <w:t xml:space="preserve">v</w:t>
      </w:r>
      <w:r>
        <w:rPr>
          <w:i/>
          <w:iCs/>
          <w:sz w:val="18"/>
          <w:szCs w:val="18"/>
          <w:vertAlign w:val="subscript"/>
        </w:rPr>
        <w:t xml:space="preserve">n</w:t>
      </w:r>
      <w:r>
        <w:rPr>
          <w:sz w:val="18"/>
          <w:szCs w:val="18"/>
        </w:rPr>
        <w:t xml:space="preserve"> · </w:t>
      </w:r>
      <w:r>
        <w:rPr>
          <w:i/>
          <w:iCs/>
          <w:sz w:val="18"/>
          <w:szCs w:val="18"/>
        </w:rPr>
        <w:t xml:space="preserve">v</w:t>
      </w:r>
      <w:r>
        <w:rPr>
          <w:i/>
          <w:iCs/>
          <w:sz w:val="18"/>
          <w:szCs w:val="18"/>
          <w:vertAlign w:val="subscript"/>
        </w:rPr>
        <w:t xml:space="preserve">n</w:t>
      </w:r>
      <w:r>
        <w:rPr>
          <w:sz w:val="18"/>
          <w:szCs w:val="18"/>
        </w:rPr>
        <w:t xml:space="preserve">′|, the scalar product of the normalised mass-weighted eigenvectors of the original and the modified model (1 = identical shape); modes were matched by maximal overlap. Scaling all spring constants by a common factor </w:t>
      </w:r>
      <w:r>
        <w:rPr>
          <w:i/>
          <w:iCs/>
          <w:sz w:val="18"/>
          <w:szCs w:val="18"/>
        </w:rPr>
        <w:t xml:space="preserve">s</w:t>
      </w:r>
      <w:r>
        <w:rPr>
          <w:sz w:val="18"/>
          <w:szCs w:val="18"/>
        </w:rPr>
        <w:t xml:space="preserve"> multiplies every frequency by √</w:t>
      </w:r>
      <w:r>
        <w:rPr>
          <w:i/>
          <w:iCs/>
          <w:sz w:val="18"/>
          <w:szCs w:val="18"/>
        </w:rPr>
        <w:t xml:space="preserve">s</w:t>
      </w:r>
      <w:r>
        <w:rPr>
          <w:sz w:val="18"/>
          <w:szCs w:val="18"/>
        </w:rPr>
        <w:t xml:space="preserve"> and leaves all mode shapes unchanged (exact). Rigid limit: making springs 9 and 10 ten or one hundred times stiffer changes the frequencies of modes 3–10 by at most 0.12%, with unchanged shapes; only modes 11 and 12 change (by ≈√factor). Springs 9 and 10 therefore act as a nearly rigid connection.</w:t>
      </w:r>
    </w:p>
    <w:p>
      <w:pPr>
        <w:spacing w:after="60" w:before="160"/>
      </w:pPr>
      <w:r>
        <w:rPr>
          <w:b/>
          <w:bCs/>
          <w:sz w:val="20"/>
          <w:szCs w:val="20"/>
        </w:rPr>
        <w:t xml:space="preserve">(b) Random variations: every spring constant multiplied by a random factor between 0.5 and 1.5 (2000 samples)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900"/>
        <w:gridCol w:w="2300"/>
        <w:gridCol w:w="1900"/>
      </w:tblGrid>
      <w:tr>
        <w:trPr>
          <w:cantSplit/>
          <w:tblHeader/>
        </w:trPr>
        <w:tc>
          <w:tcPr>
            <w:tcW w:type="dxa" w:w="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left"/>
            </w:pPr>
            <w:r>
              <w:rPr>
                <w:b/>
                <w:bCs/>
                <w:sz w:val="17"/>
                <w:szCs w:val="17"/>
              </w:rPr>
              <w:t xml:space="preserve">Mode</w:t>
            </w:r>
          </w:p>
        </w:tc>
        <w:tc>
          <w:tcPr>
            <w:tcW w:type="dxa" w:w="23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Symmetry-preserving:</w:t>
            </w:r>
          </w:p>
          <w:p>
            <w:pPr>
              <w:jc w:val="center"/>
            </w:pPr>
            <w:r>
              <w:rPr>
                <w:b/>
                <w:bCs/>
                <w:i/>
                <w:iCs/>
                <w:sz w:val="17"/>
                <w:szCs w:val="17"/>
              </w:rPr>
              <w:t xml:space="preserve">ω</w:t>
            </w:r>
            <w:r>
              <w:rPr>
                <w:b/>
                <w:bCs/>
                <w:i/>
                <w:iCs/>
                <w:sz w:val="17"/>
                <w:szCs w:val="17"/>
                <w:vertAlign w:val="subscript"/>
              </w:rPr>
              <w:t xml:space="preserve">n</w:t>
            </w:r>
            <w:r>
              <w:rPr>
                <w:b/>
                <w:bCs/>
                <w:sz w:val="17"/>
                <w:szCs w:val="17"/>
              </w:rPr>
              <w:t xml:space="preserve">′/</w:t>
            </w:r>
            <w:r>
              <w:rPr>
                <w:b/>
                <w:bCs/>
                <w:i/>
                <w:iCs/>
                <w:sz w:val="17"/>
                <w:szCs w:val="17"/>
              </w:rPr>
              <w:t xml:space="preserve">ω</w:t>
            </w:r>
            <w:r>
              <w:rPr>
                <w:b/>
                <w:bCs/>
                <w:i/>
                <w:iCs/>
                <w:sz w:val="17"/>
                <w:szCs w:val="17"/>
                <w:vertAlign w:val="subscript"/>
              </w:rPr>
              <w:t xml:space="preserve">n</w:t>
            </w:r>
            <w:r>
              <w:rPr>
                <w:b/>
                <w:bCs/>
                <w:sz w:val="17"/>
                <w:szCs w:val="17"/>
              </w:rPr>
              <w:t xml:space="preserve"> in 90% of samples (median)</w:t>
            </w:r>
          </w:p>
        </w:tc>
        <w:tc>
          <w:tcPr>
            <w:tcW w:type="dxa" w:w="1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Symmetry-preserving:</w:t>
            </w:r>
          </w:p>
          <w:p>
            <w:pPr>
              <w:jc w:val="center"/>
            </w:pPr>
            <w:r>
              <w:rPr>
                <w:b/>
                <w:bCs/>
                <w:sz w:val="17"/>
                <w:szCs w:val="17"/>
              </w:rPr>
              <w:t xml:space="preserve">shape preserved (overlap &gt; 0.9)</w:t>
            </w:r>
          </w:p>
        </w:tc>
        <w:tc>
          <w:tcPr>
            <w:tcW w:type="dxa" w:w="23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Independent:</w:t>
            </w:r>
          </w:p>
          <w:p>
            <w:pPr>
              <w:jc w:val="center"/>
            </w:pPr>
            <w:r>
              <w:rPr>
                <w:b/>
                <w:bCs/>
                <w:i/>
                <w:iCs/>
                <w:sz w:val="17"/>
                <w:szCs w:val="17"/>
              </w:rPr>
              <w:t xml:space="preserve">ω</w:t>
            </w:r>
            <w:r>
              <w:rPr>
                <w:b/>
                <w:bCs/>
                <w:i/>
                <w:iCs/>
                <w:sz w:val="17"/>
                <w:szCs w:val="17"/>
                <w:vertAlign w:val="subscript"/>
              </w:rPr>
              <w:t xml:space="preserve">n</w:t>
            </w:r>
            <w:r>
              <w:rPr>
                <w:b/>
                <w:bCs/>
                <w:sz w:val="17"/>
                <w:szCs w:val="17"/>
              </w:rPr>
              <w:t xml:space="preserve">′/</w:t>
            </w:r>
            <w:r>
              <w:rPr>
                <w:b/>
                <w:bCs/>
                <w:i/>
                <w:iCs/>
                <w:sz w:val="17"/>
                <w:szCs w:val="17"/>
              </w:rPr>
              <w:t xml:space="preserve">ω</w:t>
            </w:r>
            <w:r>
              <w:rPr>
                <w:b/>
                <w:bCs/>
                <w:i/>
                <w:iCs/>
                <w:sz w:val="17"/>
                <w:szCs w:val="17"/>
                <w:vertAlign w:val="subscript"/>
              </w:rPr>
              <w:t xml:space="preserve">n</w:t>
            </w:r>
            <w:r>
              <w:rPr>
                <w:b/>
                <w:bCs/>
                <w:sz w:val="17"/>
                <w:szCs w:val="17"/>
              </w:rPr>
              <w:t xml:space="preserve"> in 90% of samples (median)</w:t>
            </w:r>
          </w:p>
        </w:tc>
        <w:tc>
          <w:tcPr>
            <w:tcW w:type="dxa" w:w="1900"/>
            <w:tcBorders>
              <w:top w:val="single" w:color="8C96A5" w:sz="4"/>
              <w:left w:val="single" w:color="8C96A5" w:sz="4"/>
              <w:bottom w:val="single" w:color="8C96A5" w:sz="4"/>
              <w:right w:val="single" w:color="8C96A5" w:sz="4"/>
            </w:tcBorders>
            <w:shd w:fill="DCE6F2" w:color="auto" w:val="clear"/>
            <w:tcMar>
              <w:top w:type="dxa" w:w="40"/>
              <w:left w:type="dxa" w:w="70"/>
              <w:bottom w:type="dxa" w:w="40"/>
              <w:right w:type="dxa" w:w="70"/>
            </w:tcMar>
            <w:vAlign w:val="center"/>
          </w:tcPr>
          <w:p>
            <w:pPr>
              <w:jc w:val="center"/>
            </w:pPr>
            <w:r>
              <w:rPr>
                <w:b/>
                <w:bCs/>
                <w:sz w:val="17"/>
                <w:szCs w:val="17"/>
              </w:rPr>
              <w:t xml:space="preserve">Independent:</w:t>
            </w:r>
          </w:p>
          <w:p>
            <w:pPr>
              <w:jc w:val="center"/>
            </w:pPr>
            <w:r>
              <w:rPr>
                <w:b/>
                <w:bCs/>
                <w:sz w:val="17"/>
                <w:szCs w:val="17"/>
              </w:rPr>
              <w:t xml:space="preserve">shape preserved (overlap &gt; 0.9)</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3</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0.82–1.13 (0.96)</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0.85–1.08 (0.96)</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4</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0.78–1.16 (0.98)</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0.82–1.13 (0.96)</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5</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0.81–1.12 (0.96)</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0.86–1.07 (0.97)</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6</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0.81–1.15 (1.00)</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0.85–1.11 (0.98)</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84%</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7</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0.81–1.14 (0.98)</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0.83–1.12 (0.99)</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82%</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8</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0.83–1.17 (1.00)</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87%</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0.83–1.16 (1.00)</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76%</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9</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0.80–1.16 (1.01)</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0.82–1.10 (0.95)</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31%</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0.83–1.15 (1.01)</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87%</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0.90–1.14 (1.05)</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33%</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11</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0.74–1.20 (1.00)</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0.73–1.12 (0.89)</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r>
      <w:tr>
        <w:trPr>
          <w:cantSplit/>
          <w:tblHeader w:val="off"/>
        </w:trPr>
        <w:tc>
          <w:tcPr>
            <w:tcW w:type="dxa" w:w="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left"/>
            </w:pPr>
            <w:r>
              <w:rPr>
                <w:sz w:val="17"/>
                <w:szCs w:val="17"/>
              </w:rPr>
              <w:t xml:space="preserve">12</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0.74–1.20 (1.00)</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100%</w:t>
            </w:r>
          </w:p>
        </w:tc>
        <w:tc>
          <w:tcPr>
            <w:tcW w:type="dxa" w:w="23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0.86–1.21 (1.09)</w:t>
            </w:r>
          </w:p>
        </w:tc>
        <w:tc>
          <w:tcPr>
            <w:tcW w:type="dxa" w:w="1900"/>
            <w:tcBorders>
              <w:top w:val="single" w:color="8C96A5" w:sz="4"/>
              <w:left w:val="single" w:color="8C96A5" w:sz="4"/>
              <w:bottom w:val="single" w:color="8C96A5" w:sz="4"/>
              <w:right w:val="single" w:color="8C96A5" w:sz="4"/>
            </w:tcBorders>
            <w:tcMar>
              <w:top w:type="dxa" w:w="40"/>
              <w:left w:type="dxa" w:w="70"/>
              <w:bottom w:type="dxa" w:w="40"/>
              <w:right w:type="dxa" w:w="70"/>
            </w:tcMar>
            <w:vAlign w:val="center"/>
          </w:tcPr>
          <w:p>
            <w:pPr>
              <w:jc w:val="center"/>
            </w:pPr>
            <w:r>
              <w:rPr>
                <w:sz w:val="17"/>
                <w:szCs w:val="17"/>
              </w:rPr>
              <w:t xml:space="preserve">0%</w:t>
            </w:r>
          </w:p>
        </w:tc>
      </w:tr>
    </w:tbl>
    <w:p>
      <w:pPr>
        <w:spacing w:after="60" w:line="252"/>
      </w:pPr>
      <w:r>
        <w:rPr>
          <w:sz w:val="18"/>
          <w:szCs w:val="18"/>
        </w:rPr>
        <w:t xml:space="preserve">Each spring constant was multiplied by a random factor drawn from the uniform distribution on [0.5, 1.5] (any value between 50% and 150% of the original, all equally likely), and the modes were recomputed; this was repeated for 2000 random parameter sets. Frequency column: the range between the 5th and 95th percentiles of </w:t>
      </w:r>
      <w:r>
        <w:rPr>
          <w:i/>
          <w:iCs/>
          <w:sz w:val="18"/>
          <w:szCs w:val="18"/>
        </w:rPr>
        <w:t xml:space="preserve">ω</w:t>
      </w:r>
      <w:r>
        <w:rPr>
          <w:i/>
          <w:iCs/>
          <w:sz w:val="18"/>
          <w:szCs w:val="18"/>
          <w:vertAlign w:val="subscript"/>
        </w:rPr>
        <w:t xml:space="preserve">n</w:t>
      </w:r>
      <w:r>
        <w:rPr>
          <w:sz w:val="18"/>
          <w:szCs w:val="18"/>
        </w:rPr>
        <w:t xml:space="preserve">′/</w:t>
      </w:r>
      <w:r>
        <w:rPr>
          <w:i/>
          <w:iCs/>
          <w:sz w:val="18"/>
          <w:szCs w:val="18"/>
        </w:rPr>
        <w:t xml:space="preserve">ω</w:t>
      </w:r>
      <w:r>
        <w:rPr>
          <w:i/>
          <w:iCs/>
          <w:sz w:val="18"/>
          <w:szCs w:val="18"/>
          <w:vertAlign w:val="subscript"/>
        </w:rPr>
        <w:t xml:space="preserve">n</w:t>
      </w:r>
      <w:r>
        <w:rPr>
          <w:sz w:val="18"/>
          <w:szCs w:val="18"/>
        </w:rPr>
        <w:t xml:space="preserve">, which contains 90% of the samples, is the measure of sensitivity (e.g. mode 3: in 90% of the parameter sets its frequency stays within −18% and +13% of the Table 1 value). The median (in parentheses) is close to 1 because the factors are centred on 1; it shows only that there is no systematic shift. For comparison, changing all springs together by ×0.5 or ×1.5 changes every frequency by ×0.71 or ×1.22. Shape column: percentage of samples in which the mode keeps an overlap &gt; 0.9 with its original shape (Table S4a).</w:t>
      </w:r>
    </w:p>
    <w:p>
      <w:pPr>
        <w:spacing w:after="60" w:line="252"/>
      </w:pPr>
      <w:r>
        <w:rPr>
          <w:sz w:val="18"/>
          <w:szCs w:val="18"/>
        </w:rPr>
        <w:t xml:space="preserve">Symmetry-preserving: the two springs of each mirror pair (3/4, 5/6, 7/8, 9/10) were scaled by the same random factor, and springs 1 and 2 by their own factors. Independent: each of the ten springs was scaled by its own random factor, which breaks the mirror symmetry. When the symmetry is broken, the nearly degenerate pairs 9/10 and 11/12 mix (11 and 12 become left- or right-localised motions of the outer rods), while the subspaces they span are preserved: the subspace of modes 8–10 and that of modes 11–12 have all principal overlaps &gt; 0.9 in ≥ 99% of the samples. The number of zero modes was two in every sample.</w:t>
      </w:r>
    </w:p>
    <w:p>
      <w:r>
        <w:br w:type="page"/>
      </w:r>
    </w:p>
    <w:p>
      <w:pPr>
        <w:pStyle w:val="Heading1"/>
        <w:spacing w:after="120" w:before="240"/>
      </w:pPr>
      <w:r>
        <w:t xml:space="preserve">Animations S1–S12</w:t>
      </w:r>
    </w:p>
    <w:p>
      <w:pPr>
        <w:spacing w:after="120" w:line="276"/>
      </w:pPr>
      <w:r>
        <w:t xml:space="preserve">Separate files Animation_S01_zero_mode_1 … Animation_S12_mode_12 (animated GIF; identical MP4 versions are also provided). Animation S</w:t>
      </w:r>
      <w:r>
        <w:rPr>
          <w:i/>
          <w:iCs/>
        </w:rPr>
        <w:t xml:space="preserve">n</w:t>
      </w:r>
      <w:r>
        <w:t xml:space="preserve"> shows mode </w:t>
      </w:r>
      <w:r>
        <w:rPr>
          <w:i/>
          <w:iCs/>
        </w:rPr>
        <w:t xml:space="preserve">n</w:t>
      </w:r>
      <w:r>
        <w:t xml:space="preserve">; the number in the box in each animation is the mode number.</w:t>
      </w:r>
    </w:p>
    <w:p>
      <w:pPr>
        <w:spacing w:after="100" w:before="120" w:line="264"/>
      </w:pPr>
      <w:r>
        <w:rPr>
          <w:b/>
          <w:bCs/>
        </w:rPr>
        <w:t xml:space="preserve">Animations S1 and S2. </w:t>
      </w:r>
      <w:r>
        <w:t xml:space="preserve">Zero modes 1 and 2 (see Figure S1). The rods are moved one way along the mode, from one end of the displayed range to the other, and the loop then restarts. A zero mode has no restoring force and no frequency, so it is not shown as an oscillation, and the speed of the animation has no physical meaning. Grey: equilibrium configuration. Same amplitude as Figure S1.</w:t>
      </w:r>
    </w:p>
    <w:p>
      <w:pPr>
        <w:spacing w:after="100" w:before="120" w:line="264"/>
      </w:pPr>
      <w:r>
        <w:rPr>
          <w:b/>
          <w:bCs/>
        </w:rPr>
        <w:t xml:space="preserve">Animations S3–S12. </w:t>
      </w:r>
      <w:r>
        <w:t xml:space="preserve">Normal modes 3–12 (Animation S</w:t>
      </w:r>
      <w:r>
        <w:rPr>
          <w:i/>
          <w:iCs/>
        </w:rPr>
        <w:t xml:space="preserve">n</w:t>
      </w:r>
      <w:r>
        <w:t xml:space="preserve"> shows mode </w:t>
      </w:r>
      <w:r>
        <w:rPr>
          <w:i/>
          <w:iCs/>
        </w:rPr>
        <w:t xml:space="preserve">n</w:t>
      </w:r>
      <w:r>
        <w:t xml:space="preserve">), over one period of oscillation. Frequencies are given in Table 1. Blue and orange: long inner rods (pore walls); green and red: short outer rods. All modes are shown with the same normalised (mass-weighted) amplitude, exaggerated for visibility. The physical rms amplitudes at 310 K are given in Table 1 and Table S2: because the thermal amplitude scales as 1/</w:t>
      </w:r>
      <w:r>
        <w:rPr>
          <w:i/>
          <w:iCs/>
        </w:rPr>
        <w:t xml:space="preserve">ω</w:t>
      </w:r>
      <w:r>
        <w:t xml:space="preserve">, the soft modes 3 and 4 fluctuate much more than they appear to here. Axes in nm.</w:t>
      </w:r>
    </w:p>
    <w:p>
      <w:pPr>
        <w:spacing w:before="240"/>
      </w:pPr>
      <w:r>
        <w:t xml:space="preserve">Code and data: the Jupyter notebook and the Python scripts that produce all tables, figures and animations are available at https://github.com/gadyf/Collective-Mechanical-Modes-in-a-Minimal-Model-of-Ion-Channel-Gate-Dynamics and archived at Zenodo, doi:10.5281/zenodo.23687315.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2bf3272f7f486736b916acabbf4f8fa53e5580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G. Frenkel</dc:creator>
  <cp:lastModifiedBy>Un-named</cp:lastModifiedBy>
  <cp:revision>1</cp:revision>
  <dcterms:created xsi:type="dcterms:W3CDTF">2026-10-27T09:50:20.847Z</dcterms:created>
  <dcterms:modified xsi:type="dcterms:W3CDTF">2026-10-27T09:50:20.848Z</dcterms:modified>
</cp:coreProperties>
</file>

<file path=docProps/custom.xml><?xml version="1.0" encoding="utf-8"?>
<Properties xmlns="http://schemas.openxmlformats.org/officeDocument/2006/custom-properties" xmlns:vt="http://schemas.openxmlformats.org/officeDocument/2006/docPropsVTypes"/>
</file>