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20CF5F">
      <w:pPr>
        <w:jc w:val="both"/>
        <w:rPr>
          <w:b/>
          <w:bCs/>
          <w:lang w:val="fr-FR"/>
        </w:rPr>
      </w:pPr>
      <w:r>
        <w:rPr>
          <w:b/>
          <w:bCs/>
          <w:lang w:val="fr-FR"/>
        </w:rPr>
        <w:t xml:space="preserve">Projet de création </w:t>
      </w:r>
      <w:r>
        <w:rPr>
          <w:rFonts w:hint="default"/>
          <w:b/>
          <w:bCs/>
          <w:lang w:val="fr-FR"/>
        </w:rPr>
        <w:t>d’</w:t>
      </w:r>
      <w:r>
        <w:rPr>
          <w:b/>
          <w:bCs/>
          <w:lang w:val="fr-FR"/>
        </w:rPr>
        <w:t xml:space="preserve">un centre intégré de prise en charge des survivants des VBGs et des enfants extrêmement vulnérables, </w:t>
      </w:r>
      <w:r>
        <w:rPr>
          <w:b/>
          <w:bCs/>
          <w:i/>
          <w:iCs/>
          <w:lang w:val="fr-FR"/>
        </w:rPr>
        <w:t>« Iwacu Collective Center, ICC »</w:t>
      </w:r>
    </w:p>
    <w:p w14:paraId="3BAE48D5">
      <w:pPr>
        <w:jc w:val="both"/>
        <w:rPr>
          <w:b/>
          <w:bCs/>
          <w:lang w:val="fr-FR"/>
        </w:rPr>
      </w:pPr>
    </w:p>
    <w:p w14:paraId="0793058C">
      <w:pPr>
        <w:jc w:val="both"/>
        <w:rPr>
          <w:b/>
          <w:bCs/>
          <w:lang w:val="fr-FR"/>
        </w:rPr>
      </w:pPr>
      <w:r>
        <w:rPr>
          <w:b/>
          <w:bCs/>
          <w:lang w:val="fr-FR"/>
        </w:rPr>
        <w:t xml:space="preserve">Pourquoi la création d’un centre intégré ? </w:t>
      </w:r>
    </w:p>
    <w:p w14:paraId="0B1FECE0">
      <w:pPr>
        <w:jc w:val="both"/>
        <w:rPr>
          <w:rFonts w:hint="default"/>
          <w:lang w:val="en-US"/>
        </w:rPr>
      </w:pPr>
      <w:r>
        <w:rPr>
          <w:lang w:val="fr-FR"/>
        </w:rPr>
        <w:t>Étant employée d’une ONG depuis plus de 20 ans dans les programmes de lutte contre les inégalités de genre et l’injustice sociale ; ayant travaillé sur terrain avec les femmes et les filles en écoutant au quotidien le malheur dans lequel elles</w:t>
      </w:r>
      <w:r>
        <w:rPr>
          <w:rFonts w:hint="default"/>
          <w:lang w:val="en-US"/>
        </w:rPr>
        <w:t xml:space="preserve"> vivent</w:t>
      </w:r>
      <w:r>
        <w:rPr>
          <w:lang w:val="fr-FR"/>
        </w:rPr>
        <w:t xml:space="preserve"> particulièrement les violences de toutes sortes dont elles sont victimes, le traitement inhumain et dégradant dont elles </w:t>
      </w:r>
      <w:r>
        <w:rPr>
          <w:rFonts w:hint="default"/>
          <w:lang w:val="en-US"/>
        </w:rPr>
        <w:t>subissent</w:t>
      </w:r>
      <w:r>
        <w:rPr>
          <w:lang w:val="fr-FR"/>
        </w:rPr>
        <w:t xml:space="preserve">, j’ai eu un rêve de créer un centre d’accueil des survivants des VBGs et des enfants les plus vulnérables, </w:t>
      </w:r>
      <w:r>
        <w:rPr>
          <w:rFonts w:hint="default"/>
          <w:i/>
          <w:iCs/>
          <w:lang w:val="en-US"/>
        </w:rPr>
        <w:t xml:space="preserve">Iwacu Collective Center </w:t>
      </w:r>
      <w:r>
        <w:rPr>
          <w:i/>
          <w:iCs/>
          <w:lang w:val="fr-FR"/>
        </w:rPr>
        <w:t>ICC</w:t>
      </w:r>
      <w:r>
        <w:rPr>
          <w:rFonts w:hint="default"/>
          <w:i/>
          <w:iCs/>
          <w:lang w:val="en-US"/>
        </w:rPr>
        <w:t>, en sigle</w:t>
      </w:r>
      <w:r>
        <w:rPr>
          <w:rFonts w:hint="default"/>
          <w:i/>
          <w:iCs/>
          <w:lang w:val="fr-FR"/>
        </w:rPr>
        <w:t>. L’idée est  de</w:t>
      </w:r>
      <w:r>
        <w:rPr>
          <w:rFonts w:hint="default"/>
          <w:lang w:val="fr-FR"/>
        </w:rPr>
        <w:t xml:space="preserve"> mettre en valeur </w:t>
      </w:r>
      <w:r>
        <w:rPr>
          <w:rFonts w:hint="default"/>
          <w:i/>
          <w:iCs/>
          <w:lang w:val="fr-FR"/>
        </w:rPr>
        <w:t xml:space="preserve">l’expérience acquise pendant  ma carrière professionnelle </w:t>
      </w:r>
      <w:r>
        <w:rPr>
          <w:rFonts w:hint="default"/>
          <w:lang w:val="fr-FR"/>
        </w:rPr>
        <w:t>et joind</w:t>
      </w:r>
      <w:r>
        <w:rPr>
          <w:rFonts w:hint="default"/>
          <w:lang w:val="en-US"/>
        </w:rPr>
        <w:t>re les efforts aux autres acteurs e</w:t>
      </w:r>
      <w:r>
        <w:rPr>
          <w:rFonts w:hint="default"/>
          <w:lang w:val="fr-FR"/>
        </w:rPr>
        <w:t xml:space="preserve">n nouant des alliances stratégiques pour </w:t>
      </w:r>
      <w:r>
        <w:rPr>
          <w:rFonts w:hint="default"/>
          <w:lang w:val="en-US"/>
        </w:rPr>
        <w:t xml:space="preserve">contribuer </w:t>
      </w:r>
      <w:r>
        <w:rPr>
          <w:rFonts w:hint="default"/>
          <w:lang w:val="fr-FR"/>
        </w:rPr>
        <w:t>à</w:t>
      </w:r>
      <w:r>
        <w:rPr>
          <w:rFonts w:hint="default"/>
          <w:lang w:val="en-US"/>
        </w:rPr>
        <w:t xml:space="preserve"> la </w:t>
      </w:r>
      <w:r>
        <w:rPr>
          <w:rFonts w:hint="default"/>
          <w:lang w:val="fr-FR"/>
        </w:rPr>
        <w:t>réalisation</w:t>
      </w:r>
      <w:r>
        <w:rPr>
          <w:rFonts w:hint="default"/>
          <w:lang w:val="en-US"/>
        </w:rPr>
        <w:t xml:space="preserve"> des </w:t>
      </w:r>
      <w:r>
        <w:rPr>
          <w:rFonts w:hint="default"/>
          <w:lang w:val="fr-FR"/>
        </w:rPr>
        <w:t>priorités</w:t>
      </w:r>
      <w:r>
        <w:rPr>
          <w:rFonts w:hint="default"/>
          <w:lang w:val="en-US"/>
        </w:rPr>
        <w:t xml:space="preserve"> du gouvernement figurant dans le PND et la vision 2040-2060</w:t>
      </w:r>
      <w:r>
        <w:rPr>
          <w:lang w:val="fr-FR"/>
        </w:rPr>
        <w:t xml:space="preserve">. </w:t>
      </w:r>
    </w:p>
    <w:p w14:paraId="4F78D968">
      <w:pPr>
        <w:jc w:val="both"/>
        <w:rPr>
          <w:b/>
          <w:bCs/>
          <w:lang w:val="fr-FR"/>
        </w:rPr>
      </w:pPr>
      <w:bookmarkStart w:id="0" w:name="_Toc230861687"/>
      <w:r>
        <w:rPr>
          <w:b/>
          <w:bCs/>
          <w:lang w:val="fr-FR"/>
        </w:rPr>
        <w:t>Situation des violences basées sur le genre au Burundi et dans le monde</w:t>
      </w:r>
      <w:bookmarkEnd w:id="0"/>
    </w:p>
    <w:p w14:paraId="1A4F5D70">
      <w:pPr>
        <w:jc w:val="both"/>
        <w:rPr>
          <w:lang w:val="fr-FR"/>
        </w:rPr>
      </w:pPr>
      <w:r>
        <w:rPr>
          <w:rFonts w:hint="default"/>
          <w:lang w:val="en-US"/>
        </w:rPr>
        <w:t>L</w:t>
      </w:r>
      <w:r>
        <w:rPr>
          <w:lang w:val="fr-FR"/>
        </w:rPr>
        <w:t>es violences basées sur le genre violent de manière considérable les droits humains dans le monde. Selon les données estimatives de l’Organisation Mondiale de la Santé, environ une femme sur trois a subi des violences physiques et sexuelles au cours de sa vie de la part d’un partenaire intime ou d’une autre personne (OMS, 2025). Cela représente environ 840 millions de femmes âgées de 15 ans et plus.</w:t>
      </w:r>
    </w:p>
    <w:p w14:paraId="44AC712C">
      <w:pPr>
        <w:jc w:val="both"/>
        <w:rPr>
          <w:lang w:val="fr-FR"/>
        </w:rPr>
      </w:pPr>
      <w:r>
        <w:rPr>
          <w:lang w:val="fr-FR"/>
        </w:rPr>
        <w:t>Parmi les auteurs de ces violences, les partenaires intimes occupent la première place. A titre d’exemple, en 2025, environ 316 millions de femmes, soit 11 % des femmes de plus de 15 ans, ont subi des violences physiques ou sexuelles de la part de leur partenaire (OMS, 2025). Les plus exposées sont les adolescentes : 12,5 millions de filles âgées de 15 à 19 ans ont déclaré avoir subi de telles violences en 2025(OMS, 2025</w:t>
      </w:r>
      <w:r>
        <w:rPr>
          <w:rFonts w:hint="default"/>
          <w:lang w:val="fr-FR"/>
        </w:rPr>
        <w:t xml:space="preserve">. </w:t>
      </w:r>
      <w:r>
        <w:rPr>
          <w:lang w:val="fr-FR"/>
        </w:rPr>
        <w:t>Le féminicide est la forme la plus extrême de ces violences : En 2023, près de 85000 femmes et filles ont été tuées intentionnellement dans le monde dont 51000 par leurs partenaires intimes ou un membre de leur famille soit à peu près 140 femmes tués quotidiennement selon un rapport conjoint de l’office des Nations Unies contre la Drogue et le Crime et de l’ONU-Femmes (UNODC &amp; ONU-Femmes, 2026). Parmi toutes les régions, l’Afrique occupe la première place en termes de féminicide commis dans la sphère familiale, avec 21 700 victimes en 2023.</w:t>
      </w:r>
    </w:p>
    <w:p w14:paraId="5245EEA5">
      <w:pPr>
        <w:jc w:val="both"/>
        <w:rPr>
          <w:lang w:val="fr-FR"/>
        </w:rPr>
      </w:pPr>
      <w:r>
        <w:rPr>
          <w:lang w:val="fr-FR"/>
        </w:rPr>
        <w:t>Malgré cette situation préoccupante, les progrès restent très lents. Au cours de ces 20 dernières années, la violence conjugale n’a diminué que de 0,2% selon les estimations de l’OMS (OMS, 2025). Par ailleurs, la violence sexuelle commise par une personne autre que le partenaire demeure largement sous-déclarée : environ 263 millions de femmes en ont été victimes depuis l’âge de 15 ans (OMS, 2025).</w:t>
      </w:r>
    </w:p>
    <w:p w14:paraId="44A3652C">
      <w:pPr>
        <w:jc w:val="both"/>
        <w:rPr>
          <w:lang w:val="fr-FR"/>
        </w:rPr>
      </w:pPr>
      <w:r>
        <w:rPr>
          <w:lang w:val="fr-FR"/>
        </w:rPr>
        <w:t>Parmi les facteurs contribuant à ces violences, les normes discriminatoires, l’impunité des auteurs, les difficultés d’accès à la justice et les inégalités économiques dominent et continuent à limiter la protection des femmes. D’après ONU-Femmes, environ 70% des pays disposent encore des cadres juridiques discriminatoires qui limitent l’accès des femmes à l’institution judiciaire, alors que 54% de pays ne disposent pas de définitions du viol fondées sur le consentement (ONU-Femmes, 2026).</w:t>
      </w:r>
    </w:p>
    <w:p w14:paraId="386E0465">
      <w:pPr>
        <w:jc w:val="both"/>
        <w:rPr>
          <w:lang w:val="fr-FR"/>
        </w:rPr>
      </w:pPr>
      <w:r>
        <w:rPr>
          <w:lang w:val="fr-FR"/>
        </w:rPr>
        <w:t>Les conflits armés exacerbent les vulnérabilités des femmes en matière de VBG. En 2024, 676 millions de femmes et de filles vivaient à proximité de zones de conflit, et les signalements de violences sexuelles liées aux conflits ont augmenté de 87 % (ONU-Femmes, 2025).</w:t>
      </w:r>
    </w:p>
    <w:p w14:paraId="0F2660C7">
      <w:pPr>
        <w:jc w:val="both"/>
        <w:rPr>
          <w:lang w:val="fr-FR"/>
        </w:rPr>
      </w:pPr>
      <w:r>
        <w:rPr>
          <w:lang w:val="fr-FR"/>
        </w:rPr>
        <w:t>Les ressources allouées à la prévention et à la prise en charge restent très insuffisantes malgré l’ampleur de ce problème. A titre d’exemple, au niveau mondial, 0,2% de l’aide publique au développement était destinée à des programmes de prévention des violences faites aux femmes (ONU-Femmes, 2025).</w:t>
      </w:r>
    </w:p>
    <w:p w14:paraId="6E8EFC77">
      <w:pPr>
        <w:jc w:val="both"/>
        <w:rPr>
          <w:b/>
          <w:bCs/>
          <w:lang w:val="fr-FR"/>
        </w:rPr>
      </w:pPr>
      <w:bookmarkStart w:id="1" w:name="_Toc230861688"/>
      <w:r>
        <w:rPr>
          <w:rFonts w:hint="default"/>
          <w:b/>
          <w:bCs/>
          <w:lang w:val="en-US"/>
        </w:rPr>
        <w:t>Cas d</w:t>
      </w:r>
      <w:r>
        <w:rPr>
          <w:b/>
          <w:bCs/>
          <w:lang w:val="fr-FR"/>
        </w:rPr>
        <w:t>es violences basées sur le genre au Burundi</w:t>
      </w:r>
      <w:bookmarkEnd w:id="1"/>
    </w:p>
    <w:p w14:paraId="3DF5B5DA">
      <w:pPr>
        <w:jc w:val="both"/>
        <w:rPr>
          <w:lang w:val="fr-FR"/>
        </w:rPr>
      </w:pPr>
      <w:r>
        <w:rPr>
          <w:lang w:val="fr-FR"/>
        </w:rPr>
        <w:t>Les inégalités de genre sont profondément ancrées, notamment au Burundi où 22,1 % des femmes de 15–49 ans ont subi des violences physiques ou sexuelles de la part de leur partenaire en 2018 (unwomen.org). Selon une enquête gouvernementale de 2017, 36 % des femmes de la même tranche d’âge ont subi une violence physique au moins une fois dans leur vie (WHO | Regional Office for Africa). Parallèlement, la marginalisation économique des femmes reste élevée, avec un taux d’emploi vulnérable de 89,8 % pour les femmes contre 76,9 % pour les hommes en 2023 (World Bank Gender Data Portal).</w:t>
      </w:r>
    </w:p>
    <w:p w14:paraId="61E804AF">
      <w:pPr>
        <w:jc w:val="both"/>
        <w:rPr>
          <w:rFonts w:hint="default"/>
          <w:highlight w:val="none"/>
          <w:lang w:val="en-US"/>
        </w:rPr>
      </w:pPr>
      <w:r>
        <w:rPr>
          <w:highlight w:val="none"/>
          <w:lang w:val="fr-FR"/>
        </w:rPr>
        <w:t>Selon les données récentes, les violences basées sur le genre constituent au Burundi une réalité préoccupante</w:t>
      </w:r>
      <w:r>
        <w:rPr>
          <w:rFonts w:hint="default"/>
          <w:highlight w:val="none"/>
          <w:lang w:val="fr-FR"/>
        </w:rPr>
        <w:t xml:space="preserve"> et s</w:t>
      </w:r>
      <w:r>
        <w:rPr>
          <w:highlight w:val="none"/>
          <w:lang w:val="fr-FR"/>
        </w:rPr>
        <w:t>elon les organisations de défense des droits humains, ce phénomène est systémique et sous-évalué (Ndabashika &amp; Akimana, 2024 ; MFFPS, 2026)</w:t>
      </w:r>
      <w:r>
        <w:rPr>
          <w:rFonts w:hint="default"/>
          <w:highlight w:val="none"/>
          <w:lang w:val="en-US"/>
        </w:rPr>
        <w:t>.</w:t>
      </w:r>
    </w:p>
    <w:p w14:paraId="395E3111">
      <w:pPr>
        <w:jc w:val="both"/>
        <w:rPr>
          <w:rFonts w:hint="default"/>
          <w:lang w:val="fr-FR"/>
        </w:rPr>
      </w:pPr>
      <w:r>
        <w:rPr>
          <w:lang w:val="fr-FR"/>
        </w:rPr>
        <w:t xml:space="preserve">Selon le </w:t>
      </w:r>
      <w:r>
        <w:rPr>
          <w:i/>
          <w:iCs/>
        </w:rPr>
        <w:t>Mouvement des femmes et filles pour la paix et la sécurité au Burundi</w:t>
      </w:r>
      <w:r>
        <w:rPr>
          <w:rFonts w:hint="default"/>
          <w:i/>
          <w:iCs/>
          <w:lang w:val="fr-FR"/>
        </w:rPr>
        <w:t xml:space="preserve"> </w:t>
      </w:r>
      <w:r>
        <w:rPr>
          <w:rFonts w:hint="default"/>
          <w:i w:val="0"/>
          <w:iCs w:val="0"/>
          <w:lang w:val="fr-FR"/>
        </w:rPr>
        <w:t>(</w:t>
      </w:r>
      <w:r>
        <w:rPr>
          <w:lang w:val="fr-FR"/>
        </w:rPr>
        <w:t>MFFPS</w:t>
      </w:r>
      <w:r>
        <w:rPr>
          <w:rFonts w:hint="default"/>
          <w:lang w:val="fr-FR"/>
        </w:rPr>
        <w:t>)</w:t>
      </w:r>
      <w:r>
        <w:rPr>
          <w:lang w:val="fr-FR"/>
        </w:rPr>
        <w:t xml:space="preserve">, plus de 200 cas de </w:t>
      </w:r>
      <w:r>
        <w:rPr>
          <w:rFonts w:hint="default"/>
          <w:lang w:val="fr-FR"/>
        </w:rPr>
        <w:t>v</w:t>
      </w:r>
      <w:r>
        <w:rPr>
          <w:lang w:val="fr-FR"/>
        </w:rPr>
        <w:t>iolences ont été rapportés au cours de l’année 2025, ce qui témoigne de l’ampleur du phénomène (MFFPS, 2026). Parmi celles-ci, 70% concernent les Violences basées sur le genre perpétrés à l’égard des femmes et des enfants. (MFFPS &amp; OMCT, 2025). Ce phénomène est également documenté au cours de l’année 2026 où selon le rapport mensuel du mois de janvier 2026 du MFFPS, 26 cas de violations graves de droits humains ont été perpétrés, dont 17 relatifs aux violences sexuelles contre mes mineures ainsi que deux féminicides et quatre infanticides (MFFPS, 2026).</w:t>
      </w:r>
    </w:p>
    <w:p w14:paraId="0C0B454C">
      <w:pPr>
        <w:jc w:val="both"/>
        <w:rPr>
          <w:lang w:val="fr-FR"/>
        </w:rPr>
      </w:pPr>
      <w:r>
        <w:rPr>
          <w:rFonts w:hint="default"/>
          <w:lang w:val="en-US"/>
        </w:rPr>
        <w:t xml:space="preserve">Parmi les diverses formes de violences </w:t>
      </w:r>
      <w:r>
        <w:rPr>
          <w:lang w:val="fr-FR"/>
        </w:rPr>
        <w:t xml:space="preserve">basées sur le genre </w:t>
      </w:r>
      <w:r>
        <w:rPr>
          <w:rFonts w:hint="default"/>
          <w:lang w:val="en-US"/>
        </w:rPr>
        <w:t>(</w:t>
      </w:r>
      <w:r>
        <w:rPr>
          <w:lang w:val="fr-FR"/>
        </w:rPr>
        <w:t xml:space="preserve">sexuelles, physiques, </w:t>
      </w:r>
      <w:r>
        <w:rPr>
          <w:rFonts w:hint="default"/>
          <w:lang w:val="en-US"/>
        </w:rPr>
        <w:t>psy</w:t>
      </w:r>
      <w:r>
        <w:rPr>
          <w:lang w:val="fr-FR"/>
        </w:rPr>
        <w:t>chologiques</w:t>
      </w:r>
      <w:r>
        <w:rPr>
          <w:rFonts w:hint="default"/>
          <w:lang w:val="en-US"/>
        </w:rPr>
        <w:t xml:space="preserve">, </w:t>
      </w:r>
      <w:r>
        <w:rPr>
          <w:lang w:val="fr-FR"/>
        </w:rPr>
        <w:t>les violences économiques</w:t>
      </w:r>
      <w:r>
        <w:rPr>
          <w:rFonts w:hint="default"/>
          <w:lang w:val="fr-FR"/>
        </w:rPr>
        <w:t xml:space="preserve">) </w:t>
      </w:r>
      <w:r>
        <w:rPr>
          <w:rFonts w:hint="default"/>
          <w:lang w:val="en-US"/>
        </w:rPr>
        <w:t xml:space="preserve">; </w:t>
      </w:r>
      <w:r>
        <w:rPr>
          <w:lang w:val="fr-FR"/>
        </w:rPr>
        <w:t>les violences sexuelles sont les plus dominantes et touchent surtout les adolescentes et les enfants de sexe féminin. Les catégories les plus vulnérables comme les mineures, les femmes vivant en situation de pauvreté, les déplacées, les domestiques et les minorités ethniques sont les plus touchés par ce phénomène</w:t>
      </w:r>
      <w:r>
        <w:rPr>
          <w:rFonts w:hint="default"/>
          <w:lang w:val="en-US"/>
        </w:rPr>
        <w:t xml:space="preserve"> </w:t>
      </w:r>
      <w:r>
        <w:rPr>
          <w:lang w:val="fr-FR"/>
        </w:rPr>
        <w:t>(SFBSP-Burundi, 2025).</w:t>
      </w:r>
      <w:r>
        <w:rPr>
          <w:rFonts w:hint="default"/>
          <w:lang w:val="en-US"/>
        </w:rPr>
        <w:t xml:space="preserve"> Les facteurs qui sont a l’</w:t>
      </w:r>
      <w:r>
        <w:rPr>
          <w:lang w:val="fr-FR"/>
        </w:rPr>
        <w:t>origine de la persistance des VBG</w:t>
      </w:r>
      <w:r>
        <w:rPr>
          <w:rFonts w:hint="default"/>
          <w:lang w:val="en-US"/>
        </w:rPr>
        <w:t xml:space="preserve"> sont </w:t>
      </w:r>
      <w:r>
        <w:rPr>
          <w:rFonts w:hint="default"/>
          <w:lang w:val="fr-FR"/>
        </w:rPr>
        <w:t>particulièrement</w:t>
      </w:r>
      <w:r>
        <w:rPr>
          <w:rFonts w:hint="default"/>
          <w:lang w:val="en-US"/>
        </w:rPr>
        <w:t xml:space="preserve"> </w:t>
      </w:r>
      <w:r>
        <w:rPr>
          <w:lang w:val="fr-FR"/>
        </w:rPr>
        <w:t>les normes sociales et culturelles. Celles-ci sont enracinées dans les mentalités et contribuent à légitimer certaines violences au sein des personnes en couple, contribuant à les banaliser et à les accepter. (SFBSP-Burundi, 2025).</w:t>
      </w:r>
    </w:p>
    <w:p w14:paraId="2995F460">
      <w:pPr>
        <w:jc w:val="both"/>
        <w:rPr>
          <w:lang w:val="fr-FR"/>
        </w:rPr>
      </w:pPr>
      <w:r>
        <w:rPr>
          <w:lang w:val="fr-FR"/>
        </w:rPr>
        <w:t xml:space="preserve">En second lieu, ces </w:t>
      </w:r>
      <w:r>
        <w:rPr>
          <w:rFonts w:hint="default"/>
          <w:lang w:val="fr-FR"/>
        </w:rPr>
        <w:t>violences</w:t>
      </w:r>
      <w:r>
        <w:rPr>
          <w:lang w:val="fr-FR"/>
        </w:rPr>
        <w:t xml:space="preserve"> sont sous déclarées et sous dénoncées en raison de la stigmatisation et de la pression familiale. Par ailleurs, l</w:t>
      </w:r>
      <w:r>
        <w:rPr>
          <w:rFonts w:hint="default"/>
          <w:lang w:val="fr-FR"/>
        </w:rPr>
        <w:t>’</w:t>
      </w:r>
      <w:r>
        <w:rPr>
          <w:lang w:val="fr-FR"/>
        </w:rPr>
        <w:t>accès limité aux services de protection contribue à leur perpétration en favorisant l’impunité des auteurs. La peur de nombreuses victimes à signaler les abus rend difficile l’évaluation de ce phénomène (MFFPS, 2026)</w:t>
      </w:r>
    </w:p>
    <w:p w14:paraId="6F3FC0D2">
      <w:pPr>
        <w:jc w:val="both"/>
        <w:rPr>
          <w:lang w:val="fr-FR"/>
        </w:rPr>
      </w:pPr>
      <w:r>
        <w:rPr>
          <w:lang w:val="fr-FR"/>
        </w:rPr>
        <w:t>En troisième lieu, l’arrangement à l’amiable</w:t>
      </w:r>
      <w:r>
        <w:rPr>
          <w:rFonts w:hint="default"/>
          <w:lang w:val="fr-FR"/>
        </w:rPr>
        <w:t>;</w:t>
      </w:r>
      <w:r>
        <w:rPr>
          <w:lang w:val="fr-FR"/>
        </w:rPr>
        <w:t xml:space="preserve"> c’est-à dire le recours à des mécanismes extra judiciaires de résolution des conflits ainsi que la lenteur administrative en cas de saisine de la justice renforce le climat d’impunité (MFFPS, 2026 ; Ndabashika &amp; Akimana, 2024).</w:t>
      </w:r>
    </w:p>
    <w:p w14:paraId="794A1F85">
      <w:pPr>
        <w:jc w:val="both"/>
        <w:rPr>
          <w:lang w:val="fr-FR"/>
        </w:rPr>
      </w:pPr>
      <w:r>
        <w:rPr>
          <w:lang w:val="fr-FR"/>
        </w:rPr>
        <w:t xml:space="preserve">En dernier lieu, les femmes surtout en situation de dépendance économique et de pauvreté n’ont pas les moyens de quitter des relations violentes et craignent souvent d’engager une procédure judiciaire, ce qui les maintient dans un cycle de violences. </w:t>
      </w:r>
    </w:p>
    <w:p w14:paraId="29D73114">
      <w:pPr>
        <w:jc w:val="both"/>
        <w:rPr>
          <w:rFonts w:hint="default"/>
          <w:b/>
          <w:bCs/>
          <w:lang w:val="en-US"/>
        </w:rPr>
      </w:pPr>
      <w:r>
        <w:rPr>
          <w:rFonts w:hint="default"/>
          <w:b/>
          <w:bCs/>
          <w:lang w:val="en-US"/>
        </w:rPr>
        <w:t>Vi</w:t>
      </w:r>
      <w:r>
        <w:rPr>
          <w:b/>
          <w:bCs/>
          <w:lang w:val="fr-FR"/>
        </w:rPr>
        <w:t xml:space="preserve">sion </w:t>
      </w:r>
      <w:r>
        <w:rPr>
          <w:rFonts w:hint="default"/>
          <w:b/>
          <w:bCs/>
          <w:lang w:val="en-US"/>
        </w:rPr>
        <w:t>ICC</w:t>
      </w:r>
    </w:p>
    <w:p w14:paraId="3F89F9E3">
      <w:pPr>
        <w:numPr>
          <w:ilvl w:val="0"/>
          <w:numId w:val="1"/>
        </w:numPr>
        <w:jc w:val="both"/>
        <w:rPr>
          <w:i/>
          <w:iCs/>
        </w:rPr>
      </w:pPr>
      <w:r>
        <w:rPr>
          <w:i/>
          <w:iCs/>
        </w:rPr>
        <w:t xml:space="preserve">Nous voulons </w:t>
      </w:r>
      <w:r>
        <w:rPr>
          <w:rFonts w:hint="default"/>
          <w:i/>
          <w:iCs/>
          <w:lang w:val="en-US"/>
        </w:rPr>
        <w:t xml:space="preserve"> devenir</w:t>
      </w:r>
      <w:r>
        <w:rPr>
          <w:i/>
          <w:iCs/>
        </w:rPr>
        <w:t xml:space="preserve"> un sanctuaire de résilience où chaque survivant(e) transforme son traumatisme en une force d'autonomie pour reprendre le plein contrôle de sa vie.</w:t>
      </w:r>
    </w:p>
    <w:p w14:paraId="5F39AE9F">
      <w:pPr>
        <w:numPr>
          <w:ilvl w:val="0"/>
          <w:numId w:val="1"/>
        </w:numPr>
        <w:ind w:left="0" w:leftChars="0" w:firstLine="0" w:firstLineChars="0"/>
        <w:jc w:val="both"/>
        <w:rPr>
          <w:b/>
          <w:bCs/>
          <w:i/>
          <w:iCs/>
        </w:rPr>
      </w:pPr>
      <w:r>
        <w:rPr>
          <w:b/>
          <w:bCs/>
          <w:i/>
          <w:iCs/>
        </w:rPr>
        <w:t>« Restaurer l'espoir, rebâtir des vies, transformer l'avenir. »</w:t>
      </w:r>
    </w:p>
    <w:p w14:paraId="1D8E1097">
      <w:pPr>
        <w:jc w:val="both"/>
        <w:rPr>
          <w:b/>
          <w:bCs/>
        </w:rPr>
      </w:pPr>
      <w:r>
        <w:rPr>
          <w:b/>
          <w:bCs/>
        </w:rPr>
        <w:t>Mission</w:t>
      </w:r>
    </w:p>
    <w:p w14:paraId="6C6FC4E4">
      <w:pPr>
        <w:numPr>
          <w:ilvl w:val="0"/>
          <w:numId w:val="2"/>
        </w:numPr>
        <w:jc w:val="both"/>
        <w:rPr>
          <w:i/>
          <w:iCs/>
        </w:rPr>
      </w:pPr>
      <w:r>
        <w:rPr>
          <w:i/>
          <w:iCs/>
        </w:rPr>
        <w:t>Bâtir un avenir sans violence en accompagnant les survivants et les OEV, en propulsant leur indépendance financière par des projets productifs, et en agissant sur les racines de l'injustice par la promotion de masculinités positives et le changement des comportements.</w:t>
      </w:r>
    </w:p>
    <w:p w14:paraId="17FC48E0">
      <w:pPr>
        <w:numPr>
          <w:ilvl w:val="0"/>
          <w:numId w:val="2"/>
        </w:numPr>
        <w:ind w:left="0" w:leftChars="0" w:firstLine="0" w:firstLineChars="0"/>
        <w:jc w:val="both"/>
        <w:rPr>
          <w:b/>
          <w:bCs/>
          <w:i/>
          <w:iCs/>
        </w:rPr>
      </w:pPr>
      <w:r>
        <w:rPr>
          <w:i/>
          <w:iCs/>
        </w:rPr>
        <w:t>Offrir une prise en charge holistique aux survivants de VBG et aux enfants vulnérables, favoriser leur réinsertion socio-économique durable tout en déconstruisant les normes sociales nocives</w:t>
      </w:r>
      <w:r>
        <w:rPr>
          <w:rFonts w:hint="default"/>
          <w:i/>
          <w:iCs/>
          <w:lang w:val="fr-FR"/>
        </w:rPr>
        <w:t xml:space="preserve">, </w:t>
      </w:r>
      <w:r>
        <w:rPr>
          <w:i/>
          <w:iCs/>
        </w:rPr>
        <w:t>en engageant les hommes et les garçons comme alliés pour bâtir une communauté protectrice, égalitaire et sans violence afin de restaurer leur dignité.</w:t>
      </w:r>
    </w:p>
    <w:p w14:paraId="351B966C">
      <w:pPr>
        <w:numPr>
          <w:ilvl w:val="0"/>
          <w:numId w:val="2"/>
        </w:numPr>
        <w:ind w:left="0" w:leftChars="0" w:firstLine="0" w:firstLineChars="0"/>
        <w:jc w:val="both"/>
        <w:rPr>
          <w:i/>
          <w:iCs/>
        </w:rPr>
      </w:pPr>
      <w:r>
        <w:rPr>
          <w:i/>
          <w:iCs/>
        </w:rPr>
        <w:t>Offrir une prise en charge holistique aux survivants de VBG et aux OEV, en combinant la guérison des traumatismes, le développement de capacités agropastorales et entrepreneuriales, et l'engagement des hommes pour transformer les normes sociales et garantir une autonomie durable. »</w:t>
      </w:r>
    </w:p>
    <w:p w14:paraId="421733FE">
      <w:pPr>
        <w:jc w:val="both"/>
        <w:rPr>
          <w:b/>
          <w:bCs/>
          <w:lang w:val="fr-FR"/>
        </w:rPr>
      </w:pPr>
      <w:r>
        <w:rPr>
          <w:b/>
          <w:bCs/>
        </w:rPr>
        <w:t xml:space="preserve"> Les v</w:t>
      </w:r>
      <w:r>
        <w:rPr>
          <w:b/>
          <w:bCs/>
          <w:lang w:val="fr-FR"/>
        </w:rPr>
        <w:t>aleurs</w:t>
      </w:r>
    </w:p>
    <w:p w14:paraId="43361F81">
      <w:pPr>
        <w:numPr>
          <w:ilvl w:val="0"/>
          <w:numId w:val="3"/>
        </w:numPr>
        <w:jc w:val="both"/>
      </w:pPr>
      <w:r>
        <w:t>Dignité/Respect</w:t>
      </w:r>
    </w:p>
    <w:p w14:paraId="6441E521">
      <w:pPr>
        <w:jc w:val="both"/>
        <w:rPr>
          <w:i/>
          <w:iCs/>
        </w:rPr>
      </w:pPr>
      <w:r>
        <w:t>Traiter chaque personne, quel que soit son passé ou son statut (orphelin, survivant</w:t>
      </w:r>
      <w:r>
        <w:rPr>
          <w:rFonts w:hint="default"/>
          <w:lang w:val="en-US"/>
        </w:rPr>
        <w:t>e</w:t>
      </w:r>
      <w:r>
        <w:t>), avec une considération absolue</w:t>
      </w:r>
      <w:r>
        <w:rPr>
          <w:i/>
          <w:iCs/>
        </w:rPr>
        <w:t xml:space="preserve">. </w:t>
      </w:r>
    </w:p>
    <w:p w14:paraId="3D296D09">
      <w:pPr>
        <w:jc w:val="both"/>
      </w:pPr>
      <w:r>
        <w:rPr>
          <w:i/>
          <w:iCs/>
        </w:rPr>
        <w:t>So</w:t>
      </w:r>
      <w:bookmarkStart w:id="2" w:name="_GoBack"/>
      <w:bookmarkEnd w:id="2"/>
      <w:r>
        <w:rPr>
          <w:i/>
          <w:iCs/>
        </w:rPr>
        <w:t>n application</w:t>
      </w:r>
      <w:r>
        <w:t xml:space="preserve"> : Garantir un accueil sans jugement et protéger l'estime de soi de chaque</w:t>
      </w:r>
      <w:r>
        <w:rPr>
          <w:rFonts w:hint="default"/>
          <w:lang w:val="en-US"/>
        </w:rPr>
        <w:t xml:space="preserve"> participant</w:t>
      </w:r>
      <w:r>
        <w:t>.</w:t>
      </w:r>
    </w:p>
    <w:p w14:paraId="38F6BEF1">
      <w:pPr>
        <w:jc w:val="both"/>
      </w:pPr>
      <w:r>
        <w:t>2. Intégrité et Confidentialité</w:t>
      </w:r>
    </w:p>
    <w:p w14:paraId="3A228D0F">
      <w:pPr>
        <w:jc w:val="both"/>
      </w:pPr>
      <w:r>
        <w:t xml:space="preserve">Pour les survivants de VBG, la confiance est souvent brisée. L'organisation doit être irréprochable. </w:t>
      </w:r>
    </w:p>
    <w:p w14:paraId="134A8D1C">
      <w:pPr>
        <w:jc w:val="both"/>
      </w:pPr>
      <w:r>
        <w:rPr>
          <w:rFonts w:hint="default"/>
          <w:i/>
          <w:iCs/>
          <w:lang w:val="en-US"/>
        </w:rPr>
        <w:t xml:space="preserve">Son application : </w:t>
      </w:r>
      <w:r>
        <w:rPr>
          <w:rFonts w:hint="default"/>
          <w:i w:val="0"/>
          <w:iCs w:val="0"/>
          <w:lang w:val="en-US"/>
        </w:rPr>
        <w:t>Nous devons a</w:t>
      </w:r>
      <w:r>
        <w:rPr>
          <w:i w:val="0"/>
          <w:iCs w:val="0"/>
        </w:rPr>
        <w:t>ssurer une g</w:t>
      </w:r>
      <w:r>
        <w:t>estion stricte des données personnelles et une éthique professionnelle totale dans l'accompagnement juridique</w:t>
      </w:r>
      <w:r>
        <w:rPr>
          <w:rFonts w:hint="default"/>
          <w:lang w:val="en-US"/>
        </w:rPr>
        <w:t xml:space="preserve">, </w:t>
      </w:r>
      <w:r>
        <w:t>médical et psychosocial.</w:t>
      </w:r>
    </w:p>
    <w:p w14:paraId="629A43DB">
      <w:pPr>
        <w:jc w:val="both"/>
      </w:pPr>
      <w:r>
        <w:t>3. Empathie (</w:t>
      </w:r>
      <w:r>
        <w:rPr>
          <w:rFonts w:hint="default"/>
          <w:lang w:val="en-US"/>
        </w:rPr>
        <w:t>b</w:t>
      </w:r>
      <w:r>
        <w:t>ienveillance /gentillesse)</w:t>
      </w:r>
    </w:p>
    <w:p w14:paraId="48B27688">
      <w:pPr>
        <w:jc w:val="both"/>
      </w:pPr>
      <w:r>
        <w:t xml:space="preserve">Capacité de comprendre la souffrance de l'autre pour mieux l'aider. </w:t>
      </w:r>
    </w:p>
    <w:p w14:paraId="202DFAA6">
      <w:pPr>
        <w:jc w:val="both"/>
      </w:pPr>
      <w:r>
        <w:rPr>
          <w:rFonts w:hint="default"/>
          <w:i/>
          <w:iCs/>
          <w:lang w:val="en-US"/>
        </w:rPr>
        <w:t>Champ d’application</w:t>
      </w:r>
      <w:r>
        <w:rPr>
          <w:rFonts w:hint="default"/>
          <w:lang w:val="en-US"/>
        </w:rPr>
        <w:t xml:space="preserve"> : </w:t>
      </w:r>
      <w:r>
        <w:t>Nous</w:t>
      </w:r>
      <w:r>
        <w:rPr>
          <w:rFonts w:hint="default"/>
          <w:lang w:val="en-US"/>
        </w:rPr>
        <w:t xml:space="preserve"> allons</w:t>
      </w:r>
      <w:r>
        <w:t xml:space="preserve"> développer une écoute active et un environnement chaleureux, essentiel pour le développement des enfants et la guérison des traumatismes</w:t>
      </w:r>
      <w:r>
        <w:rPr>
          <w:rFonts w:hint="default"/>
          <w:lang w:val="en-US"/>
        </w:rPr>
        <w:t xml:space="preserve"> des survivantes</w:t>
      </w:r>
      <w:r>
        <w:t>.</w:t>
      </w:r>
    </w:p>
    <w:p w14:paraId="2A6513C0">
      <w:pPr>
        <w:jc w:val="both"/>
      </w:pPr>
      <w:r>
        <w:t>4. Autonomisation (Empowerment)</w:t>
      </w:r>
    </w:p>
    <w:p w14:paraId="3DA9D245">
      <w:pPr>
        <w:jc w:val="both"/>
        <w:rPr>
          <w:highlight w:val="none"/>
        </w:rPr>
      </w:pPr>
      <w:r>
        <w:t>L'objectif n'est pas de créer une dépendance, mais de redonner le pouvoir d'agir. Nous devons offrir des formations aux su</w:t>
      </w:r>
      <w:r>
        <w:rPr>
          <w:highlight w:val="none"/>
        </w:rPr>
        <w:t xml:space="preserve">rvivants </w:t>
      </w:r>
      <w:r>
        <w:rPr>
          <w:rFonts w:hint="default"/>
          <w:highlight w:val="none"/>
          <w:lang w:val="en-US"/>
        </w:rPr>
        <w:t xml:space="preserve">pour </w:t>
      </w:r>
      <w:r>
        <w:rPr>
          <w:rFonts w:hint="default"/>
          <w:highlight w:val="none"/>
          <w:lang w:val="fr-FR"/>
        </w:rPr>
        <w:t>être</w:t>
      </w:r>
      <w:r>
        <w:rPr>
          <w:rFonts w:hint="default"/>
          <w:highlight w:val="none"/>
          <w:lang w:val="en-US"/>
        </w:rPr>
        <w:t xml:space="preserve"> capable de prendre en main leur </w:t>
      </w:r>
      <w:r>
        <w:rPr>
          <w:rFonts w:hint="default"/>
          <w:highlight w:val="none"/>
          <w:lang w:val="fr-FR"/>
        </w:rPr>
        <w:t>destinée</w:t>
      </w:r>
      <w:r>
        <w:rPr>
          <w:rFonts w:hint="default"/>
          <w:highlight w:val="none"/>
          <w:lang w:val="en-US"/>
        </w:rPr>
        <w:t xml:space="preserve"> mais </w:t>
      </w:r>
      <w:r>
        <w:rPr>
          <w:rFonts w:hint="default"/>
          <w:highlight w:val="none"/>
          <w:lang w:val="fr-FR"/>
        </w:rPr>
        <w:t>également</w:t>
      </w:r>
      <w:r>
        <w:rPr>
          <w:rFonts w:hint="default"/>
          <w:highlight w:val="none"/>
          <w:lang w:val="en-US"/>
        </w:rPr>
        <w:t xml:space="preserve"> contribuer a l’une </w:t>
      </w:r>
      <w:r>
        <w:rPr>
          <w:highlight w:val="none"/>
        </w:rPr>
        <w:t>éducation de qualité aux orphelins pour qu'ils deviennent les acteurs de leur propre avenir.</w:t>
      </w:r>
    </w:p>
    <w:p w14:paraId="0AFAC4C3">
      <w:pPr>
        <w:jc w:val="both"/>
      </w:pPr>
      <w:r>
        <w:t>5. Solidarité (ou Engagement)</w:t>
      </w:r>
    </w:p>
    <w:p w14:paraId="02BFD6A6">
      <w:pPr>
        <w:jc w:val="both"/>
      </w:pPr>
      <w:r>
        <w:t>Travailler ensemble pour briser le cycle de la violence et de la pauvreté.</w:t>
      </w:r>
    </w:p>
    <w:p w14:paraId="4155405D">
      <w:pPr>
        <w:jc w:val="both"/>
      </w:pPr>
      <w:r>
        <w:rPr>
          <w:rFonts w:hint="default"/>
          <w:i/>
          <w:iCs/>
          <w:lang w:val="en-US"/>
        </w:rPr>
        <w:t>Cham</w:t>
      </w:r>
      <w:r>
        <w:rPr>
          <w:rFonts w:hint="default"/>
          <w:i/>
          <w:iCs/>
          <w:highlight w:val="none"/>
          <w:lang w:val="en-US"/>
        </w:rPr>
        <w:t>p d’application:</w:t>
      </w:r>
      <w:r>
        <w:rPr>
          <w:highlight w:val="none"/>
        </w:rPr>
        <w:t xml:space="preserve"> Nous devons collaborer avec les communautés, les familles d'accuei</w:t>
      </w:r>
      <w:r>
        <w:rPr>
          <w:rFonts w:hint="default"/>
          <w:highlight w:val="none"/>
          <w:lang w:val="en-US"/>
        </w:rPr>
        <w:t xml:space="preserve">l, </w:t>
      </w:r>
      <w:r>
        <w:rPr>
          <w:highlight w:val="none"/>
        </w:rPr>
        <w:t>les partenaires</w:t>
      </w:r>
      <w:r>
        <w:rPr>
          <w:rFonts w:hint="default"/>
          <w:highlight w:val="none"/>
          <w:lang w:val="en-US"/>
        </w:rPr>
        <w:t xml:space="preserve">, les services du gouvernement du domaine </w:t>
      </w:r>
      <w:r>
        <w:rPr>
          <w:highlight w:val="none"/>
        </w:rPr>
        <w:t>pour créer un filet de sécurité autour des plus vulnéra</w:t>
      </w:r>
      <w:r>
        <w:t>bles.</w:t>
      </w:r>
    </w:p>
    <w:p w14:paraId="0639A516">
      <w:pPr>
        <w:jc w:val="both"/>
        <w:rPr>
          <w:b/>
          <w:bCs/>
          <w:color w:val="auto"/>
          <w:highlight w:val="none"/>
        </w:rPr>
      </w:pPr>
      <w:r>
        <w:rPr>
          <w:b/>
          <w:bCs/>
          <w:color w:val="auto"/>
          <w:highlight w:val="none"/>
          <w:lang w:val="fr-FR"/>
        </w:rPr>
        <w:t xml:space="preserve">Les piliers de ICC : </w:t>
      </w:r>
    </w:p>
    <w:p w14:paraId="3A0D5D03">
      <w:pPr>
        <w:jc w:val="both"/>
        <w:rPr>
          <w:color w:val="auto"/>
          <w:highlight w:val="none"/>
          <w:lang w:val="fr-FR"/>
        </w:rPr>
      </w:pPr>
      <w:r>
        <w:rPr>
          <w:color w:val="auto"/>
          <w:highlight w:val="none"/>
        </w:rPr>
        <w:t xml:space="preserve">La création d'un centre de prise en charge des Violences Basées sur le Genre (VBG) repose sur une approche holistique et centrée sur la survivante, visant à restaurer sa dignité et son autonomie. </w:t>
      </w:r>
      <w:r>
        <w:rPr>
          <w:color w:val="auto"/>
          <w:highlight w:val="none"/>
          <w:lang w:val="fr-FR"/>
        </w:rPr>
        <w:t xml:space="preserve">Le centre intégré s’articule autour des piliers suivants : </w:t>
      </w:r>
    </w:p>
    <w:p w14:paraId="6926DF61">
      <w:pPr>
        <w:numPr>
          <w:ilvl w:val="0"/>
          <w:numId w:val="4"/>
        </w:numPr>
        <w:spacing w:after="384" w:line="240" w:lineRule="auto"/>
        <w:ind w:left="425" w:leftChars="0" w:hanging="425" w:firstLineChars="0"/>
        <w:jc w:val="both"/>
        <w:textAlignment w:val="baseline"/>
        <w:rPr>
          <w:rFonts w:hint="default"/>
          <w:color w:val="auto"/>
          <w:highlight w:val="none"/>
          <w:lang w:val="fr-FR"/>
        </w:rPr>
      </w:pPr>
      <w:r>
        <w:rPr>
          <w:color w:val="auto"/>
          <w:highlight w:val="none"/>
          <w:lang w:val="fr-FR"/>
        </w:rPr>
        <w:t>Prise en charge psychosocial</w:t>
      </w:r>
      <w:r>
        <w:rPr>
          <w:rFonts w:hint="default"/>
          <w:color w:val="auto"/>
          <w:highlight w:val="none"/>
          <w:lang w:val="fr-FR"/>
        </w:rPr>
        <w:t>e</w:t>
      </w:r>
      <w:r>
        <w:rPr>
          <w:color w:val="auto"/>
          <w:highlight w:val="none"/>
          <w:lang w:val="fr-FR"/>
        </w:rPr>
        <w:t xml:space="preserve"> des survivantes des violences basées sur le genre et des orphelins et autres enfants vulnérables (</w:t>
      </w:r>
      <w:r>
        <w:rPr>
          <w:color w:val="auto"/>
          <w:highlight w:val="none"/>
        </w:rPr>
        <w:t>Soutien psychosocial et psychologique : Premier accueil par une assistante sociale, suivi par des psychologues pour tr</w:t>
      </w:r>
      <w:r>
        <w:rPr>
          <w:rFonts w:hint="default"/>
          <w:color w:val="auto"/>
          <w:highlight w:val="none"/>
          <w:lang w:val="fr-FR"/>
        </w:rPr>
        <w:t>aiter les cas des traumatismes.</w:t>
      </w:r>
    </w:p>
    <w:p w14:paraId="61945684">
      <w:pPr>
        <w:numPr>
          <w:ilvl w:val="0"/>
          <w:numId w:val="4"/>
        </w:numPr>
        <w:spacing w:after="384" w:line="240" w:lineRule="auto"/>
        <w:ind w:left="425" w:leftChars="0" w:hanging="425" w:firstLineChars="0"/>
        <w:jc w:val="both"/>
        <w:textAlignment w:val="baseline"/>
        <w:rPr>
          <w:color w:val="auto"/>
          <w:highlight w:val="none"/>
        </w:rPr>
      </w:pPr>
      <w:r>
        <w:rPr>
          <w:color w:val="auto"/>
          <w:highlight w:val="none"/>
        </w:rPr>
        <w:t xml:space="preserve">Prise en charge médicale : </w:t>
      </w:r>
      <w:r>
        <w:rPr>
          <w:rFonts w:hint="default"/>
          <w:color w:val="auto"/>
          <w:highlight w:val="none"/>
          <w:lang w:val="en-US"/>
        </w:rPr>
        <w:t xml:space="preserve">Mettre en place </w:t>
      </w:r>
      <w:r>
        <w:rPr>
          <w:rFonts w:ascii="Times New Roman" w:hAnsi="Times New Roman" w:eastAsia="Times New Roman" w:cs="Times New Roman"/>
          <w:color w:val="auto"/>
          <w:kern w:val="0"/>
          <w:sz w:val="24"/>
          <w:szCs w:val="24"/>
          <w:highlight w:val="none"/>
          <w:lang w:eastAsia="zh-CN"/>
          <w14:ligatures w14:val="none"/>
        </w:rPr>
        <w:t xml:space="preserve">un système de référencement des </w:t>
      </w:r>
      <w:r>
        <w:rPr>
          <w:rFonts w:hint="default" w:ascii="Times New Roman" w:hAnsi="Times New Roman" w:eastAsia="Times New Roman" w:cs="Times New Roman"/>
          <w:color w:val="auto"/>
          <w:kern w:val="0"/>
          <w:sz w:val="24"/>
          <w:szCs w:val="24"/>
          <w:highlight w:val="none"/>
          <w:lang w:val="en-US" w:eastAsia="zh-CN"/>
          <w14:ligatures w14:val="none"/>
        </w:rPr>
        <w:t xml:space="preserve">survivantes et </w:t>
      </w:r>
      <w:r>
        <w:rPr>
          <w:rFonts w:ascii="Times New Roman" w:hAnsi="Times New Roman" w:eastAsia="Times New Roman" w:cs="Times New Roman"/>
          <w:color w:val="auto"/>
          <w:kern w:val="0"/>
          <w:sz w:val="24"/>
          <w:szCs w:val="24"/>
          <w:highlight w:val="none"/>
          <w:lang w:eastAsia="zh-CN"/>
          <w14:ligatures w14:val="none"/>
        </w:rPr>
        <w:t>renforce</w:t>
      </w:r>
      <w:r>
        <w:rPr>
          <w:rFonts w:hint="default" w:ascii="Times New Roman" w:hAnsi="Times New Roman" w:eastAsia="Times New Roman" w:cs="Times New Roman"/>
          <w:color w:val="auto"/>
          <w:kern w:val="0"/>
          <w:sz w:val="24"/>
          <w:szCs w:val="24"/>
          <w:highlight w:val="none"/>
          <w:lang w:val="en-US" w:eastAsia="zh-CN"/>
          <w14:ligatures w14:val="none"/>
        </w:rPr>
        <w:t xml:space="preserve">ment des </w:t>
      </w:r>
      <w:r>
        <w:rPr>
          <w:rFonts w:hint="default" w:ascii="Times New Roman" w:hAnsi="Times New Roman" w:eastAsia="Times New Roman" w:cs="Times New Roman"/>
          <w:color w:val="auto"/>
          <w:kern w:val="0"/>
          <w:sz w:val="24"/>
          <w:szCs w:val="24"/>
          <w:highlight w:val="none"/>
          <w:lang w:val="fr-FR" w:eastAsia="zh-CN"/>
          <w14:ligatures w14:val="none"/>
        </w:rPr>
        <w:t>capacités</w:t>
      </w:r>
      <w:r>
        <w:rPr>
          <w:rFonts w:hint="default" w:ascii="Times New Roman" w:hAnsi="Times New Roman" w:eastAsia="Times New Roman" w:cs="Times New Roman"/>
          <w:color w:val="auto"/>
          <w:kern w:val="0"/>
          <w:sz w:val="24"/>
          <w:szCs w:val="24"/>
          <w:highlight w:val="none"/>
          <w:lang w:val="en-US" w:eastAsia="zh-CN"/>
          <w14:ligatures w14:val="none"/>
        </w:rPr>
        <w:t xml:space="preserve"> du personnel soignant</w:t>
      </w:r>
      <w:r>
        <w:rPr>
          <w:rFonts w:ascii="Times New Roman" w:hAnsi="Times New Roman" w:eastAsia="Times New Roman" w:cs="Times New Roman"/>
          <w:color w:val="auto"/>
          <w:kern w:val="0"/>
          <w:sz w:val="24"/>
          <w:szCs w:val="24"/>
          <w:highlight w:val="none"/>
          <w:lang w:eastAsia="zh-CN"/>
          <w14:ligatures w14:val="none"/>
        </w:rPr>
        <w:t xml:space="preserve"> </w:t>
      </w:r>
    </w:p>
    <w:p w14:paraId="0B3E99F9">
      <w:pPr>
        <w:pStyle w:val="29"/>
        <w:numPr>
          <w:ilvl w:val="0"/>
          <w:numId w:val="4"/>
        </w:numPr>
        <w:ind w:left="425" w:leftChars="0" w:hanging="425" w:firstLineChars="0"/>
        <w:jc w:val="both"/>
        <w:rPr>
          <w:rFonts w:ascii="Times New Roman" w:hAnsi="Times New Roman" w:eastAsia="Times New Roman" w:cs="Times New Roman"/>
          <w:color w:val="auto"/>
          <w:kern w:val="0"/>
          <w:sz w:val="24"/>
          <w:szCs w:val="24"/>
          <w:highlight w:val="none"/>
          <w:lang w:eastAsia="zh-CN"/>
          <w14:ligatures w14:val="none"/>
        </w:rPr>
      </w:pPr>
      <w:r>
        <w:rPr>
          <w:color w:val="auto"/>
          <w:highlight w:val="none"/>
        </w:rPr>
        <w:t>Assistance juridique et judiciaire</w:t>
      </w:r>
      <w:r>
        <w:rPr>
          <w:rFonts w:hint="default"/>
          <w:color w:val="auto"/>
          <w:highlight w:val="none"/>
          <w:lang w:val="fr-FR"/>
        </w:rPr>
        <w:t xml:space="preserve"> des survivantes des VBGs et des OEVs</w:t>
      </w:r>
      <w:r>
        <w:rPr>
          <w:color w:val="auto"/>
          <w:highlight w:val="none"/>
        </w:rPr>
        <w:t xml:space="preserve"> : Orientation pour le dépôt de plainte, aide juridictionnelle et accompagnement </w:t>
      </w:r>
      <w:r>
        <w:rPr>
          <w:rFonts w:hint="default"/>
          <w:color w:val="auto"/>
          <w:highlight w:val="none"/>
          <w:lang w:val="en-US"/>
        </w:rPr>
        <w:t>des survivantes dans l</w:t>
      </w:r>
      <w:r>
        <w:rPr>
          <w:color w:val="auto"/>
          <w:highlight w:val="none"/>
        </w:rPr>
        <w:t>es procédures</w:t>
      </w:r>
      <w:r>
        <w:rPr>
          <w:rFonts w:hint="default"/>
          <w:color w:val="auto"/>
          <w:highlight w:val="none"/>
          <w:lang w:val="en-US"/>
        </w:rPr>
        <w:t xml:space="preserve">, </w:t>
      </w:r>
      <w:r>
        <w:rPr>
          <w:rFonts w:ascii="Times New Roman" w:hAnsi="Times New Roman" w:eastAsia="Times New Roman" w:cs="Times New Roman"/>
          <w:color w:val="auto"/>
          <w:kern w:val="0"/>
          <w:sz w:val="24"/>
          <w:szCs w:val="24"/>
          <w:highlight w:val="none"/>
          <w:lang w:eastAsia="zh-CN"/>
          <w14:ligatures w14:val="none"/>
        </w:rPr>
        <w:t>renforcer les compétences et les capacités d’accueil</w:t>
      </w:r>
      <w:r>
        <w:rPr>
          <w:rFonts w:hint="default" w:ascii="Times New Roman" w:hAnsi="Times New Roman" w:eastAsia="Times New Roman" w:cs="Times New Roman"/>
          <w:color w:val="auto"/>
          <w:kern w:val="0"/>
          <w:sz w:val="24"/>
          <w:szCs w:val="24"/>
          <w:highlight w:val="none"/>
          <w:lang w:val="fr-FR" w:eastAsia="zh-CN"/>
          <w14:ligatures w14:val="none"/>
        </w:rPr>
        <w:t xml:space="preserve"> des structures de prise en charge</w:t>
      </w:r>
      <w:r>
        <w:rPr>
          <w:rFonts w:ascii="Times New Roman" w:hAnsi="Times New Roman" w:eastAsia="Times New Roman" w:cs="Times New Roman"/>
          <w:color w:val="auto"/>
          <w:kern w:val="0"/>
          <w:sz w:val="24"/>
          <w:szCs w:val="24"/>
          <w:highlight w:val="none"/>
          <w:lang w:eastAsia="zh-CN"/>
          <w14:ligatures w14:val="none"/>
        </w:rPr>
        <w:t>, créer un système informatisé sécurisé des doss</w:t>
      </w:r>
      <w:r>
        <w:rPr>
          <w:rFonts w:hint="default" w:ascii="Times New Roman" w:hAnsi="Times New Roman" w:eastAsia="Times New Roman" w:cs="Times New Roman"/>
          <w:color w:val="auto"/>
          <w:kern w:val="0"/>
          <w:sz w:val="24"/>
          <w:szCs w:val="24"/>
          <w:highlight w:val="none"/>
          <w:lang w:val="en-US" w:eastAsia="zh-CN"/>
          <w14:ligatures w14:val="none"/>
        </w:rPr>
        <w:t>iers.</w:t>
      </w:r>
      <w:r>
        <w:rPr>
          <w:rFonts w:hint="default" w:ascii="Times New Roman" w:hAnsi="Times New Roman" w:eastAsia="Times New Roman" w:cs="Times New Roman"/>
          <w:color w:val="auto"/>
          <w:kern w:val="0"/>
          <w:sz w:val="24"/>
          <w:szCs w:val="24"/>
          <w:highlight w:val="none"/>
          <w:lang w:val="fr-FR" w:eastAsia="zh-CN"/>
          <w14:ligatures w14:val="none"/>
        </w:rPr>
        <w:t xml:space="preserve">    </w:t>
      </w:r>
    </w:p>
    <w:p w14:paraId="718D0F77">
      <w:pPr>
        <w:pStyle w:val="29"/>
        <w:numPr>
          <w:ilvl w:val="0"/>
          <w:numId w:val="4"/>
        </w:numPr>
        <w:ind w:left="425" w:leftChars="0" w:hanging="425" w:firstLineChars="0"/>
        <w:jc w:val="both"/>
        <w:rPr>
          <w:rFonts w:ascii="Times New Roman" w:hAnsi="Times New Roman" w:eastAsia="Times New Roman" w:cs="Times New Roman"/>
          <w:color w:val="auto"/>
          <w:kern w:val="0"/>
          <w:sz w:val="24"/>
          <w:szCs w:val="24"/>
          <w:highlight w:val="none"/>
          <w:lang w:eastAsia="zh-CN"/>
          <w14:ligatures w14:val="none"/>
        </w:rPr>
      </w:pPr>
      <w:r>
        <w:rPr>
          <w:color w:val="auto"/>
          <w:highlight w:val="none"/>
        </w:rPr>
        <w:t>Réinsertion socio-économique</w:t>
      </w:r>
      <w:r>
        <w:rPr>
          <w:rFonts w:hint="default"/>
          <w:color w:val="auto"/>
          <w:highlight w:val="none"/>
          <w:lang w:val="en-US"/>
        </w:rPr>
        <w:t xml:space="preserve"> des survivantes</w:t>
      </w:r>
      <w:r>
        <w:rPr>
          <w:color w:val="auto"/>
          <w:highlight w:val="none"/>
        </w:rPr>
        <w:t> :</w:t>
      </w:r>
      <w:r>
        <w:rPr>
          <w:rFonts w:hint="default"/>
          <w:color w:val="auto"/>
          <w:highlight w:val="none"/>
          <w:lang w:val="en-US"/>
        </w:rPr>
        <w:t xml:space="preserve"> </w:t>
      </w:r>
      <w:r>
        <w:rPr>
          <w:color w:val="auto"/>
          <w:highlight w:val="none"/>
          <w:lang w:val="fr-FR"/>
        </w:rPr>
        <w:t xml:space="preserve">Développement des activités agro-pastorales et entrepreneuriales pour contribuer à la prise en charge au quotidien des personnes logées au centre et pour le renforcement de leur capacité dans ces domaines. </w:t>
      </w:r>
      <w:r>
        <w:rPr>
          <w:rFonts w:hint="default"/>
          <w:color w:val="auto"/>
          <w:highlight w:val="none"/>
          <w:lang w:val="en-US"/>
        </w:rPr>
        <w:t>(</w:t>
      </w:r>
      <w:r>
        <w:rPr>
          <w:color w:val="auto"/>
          <w:highlight w:val="none"/>
        </w:rPr>
        <w:t>Formations en entrepreneuriat, activités génératrices de revenus (AGR) et transferts monétaires pour favoriser l'indépendance financière</w:t>
      </w:r>
      <w:r>
        <w:rPr>
          <w:rFonts w:hint="default"/>
          <w:color w:val="auto"/>
          <w:highlight w:val="none"/>
          <w:lang w:val="en-US"/>
        </w:rPr>
        <w:t>)</w:t>
      </w:r>
      <w:r>
        <w:rPr>
          <w:color w:val="auto"/>
          <w:highlight w:val="none"/>
        </w:rPr>
        <w:t>. </w:t>
      </w:r>
    </w:p>
    <w:p w14:paraId="5E28DA82">
      <w:pPr>
        <w:pStyle w:val="29"/>
        <w:numPr>
          <w:ilvl w:val="0"/>
          <w:numId w:val="4"/>
        </w:numPr>
        <w:ind w:left="425" w:leftChars="0" w:hanging="425" w:firstLineChars="0"/>
        <w:jc w:val="both"/>
        <w:rPr>
          <w:color w:val="auto"/>
          <w:highlight w:val="none"/>
          <w:lang w:val="fr-FR"/>
        </w:rPr>
      </w:pPr>
      <w:r>
        <w:rPr>
          <w:color w:val="auto"/>
          <w:highlight w:val="none"/>
          <w:lang w:val="fr-FR"/>
        </w:rPr>
        <w:t xml:space="preserve">Réinsertion socio-économique </w:t>
      </w:r>
      <w:r>
        <w:rPr>
          <w:rFonts w:hint="default"/>
          <w:color w:val="auto"/>
          <w:highlight w:val="none"/>
          <w:lang w:val="en-US"/>
        </w:rPr>
        <w:t xml:space="preserve">des OEVs </w:t>
      </w:r>
      <w:r>
        <w:rPr>
          <w:color w:val="auto"/>
          <w:highlight w:val="none"/>
          <w:lang w:val="fr-FR"/>
        </w:rPr>
        <w:t>dans leurs familles</w:t>
      </w:r>
      <w:r>
        <w:rPr>
          <w:rFonts w:hint="default"/>
          <w:color w:val="auto"/>
          <w:highlight w:val="none"/>
          <w:lang w:val="en-US"/>
        </w:rPr>
        <w:t xml:space="preserve"> et famille d'accueil</w:t>
      </w:r>
      <w:r>
        <w:rPr>
          <w:color w:val="auto"/>
          <w:highlight w:val="none"/>
          <w:lang w:val="fr-FR"/>
        </w:rPr>
        <w:t>/recherche de paternité</w:t>
      </w:r>
      <w:r>
        <w:rPr>
          <w:rFonts w:hint="default"/>
          <w:color w:val="auto"/>
          <w:highlight w:val="none"/>
          <w:lang w:val="en-US"/>
        </w:rPr>
        <w:t>.</w:t>
      </w:r>
    </w:p>
    <w:p w14:paraId="79EE5C63">
      <w:pPr>
        <w:pStyle w:val="29"/>
        <w:numPr>
          <w:ilvl w:val="0"/>
          <w:numId w:val="4"/>
        </w:numPr>
        <w:ind w:left="425" w:leftChars="0" w:hanging="425" w:firstLineChars="0"/>
        <w:jc w:val="both"/>
        <w:rPr>
          <w:color w:val="auto"/>
          <w:highlight w:val="none"/>
          <w:lang w:val="fr-FR"/>
        </w:rPr>
      </w:pPr>
      <w:r>
        <w:rPr>
          <w:rFonts w:hint="default"/>
          <w:color w:val="auto"/>
          <w:highlight w:val="none"/>
          <w:lang w:val="en-US"/>
        </w:rPr>
        <w:t>Mise en place d’un systeme de referencement pour les OEVs  et recherche de paternite’ famille d’accueil, etc.</w:t>
      </w:r>
    </w:p>
    <w:p w14:paraId="51AF6F7D">
      <w:pPr>
        <w:pStyle w:val="29"/>
        <w:numPr>
          <w:ilvl w:val="0"/>
          <w:numId w:val="4"/>
        </w:numPr>
        <w:ind w:left="425" w:leftChars="0" w:hanging="425" w:firstLineChars="0"/>
        <w:jc w:val="both"/>
        <w:rPr>
          <w:color w:val="auto"/>
          <w:highlight w:val="none"/>
          <w:lang w:val="fr-FR"/>
        </w:rPr>
      </w:pPr>
      <w:r>
        <w:rPr>
          <w:rFonts w:hint="default"/>
          <w:color w:val="auto"/>
          <w:highlight w:val="none"/>
          <w:lang w:val="en-US"/>
        </w:rPr>
        <w:t xml:space="preserve">Mise en place des services de gardiennage des enfants. </w:t>
      </w:r>
    </w:p>
    <w:p w14:paraId="752BDAE8">
      <w:pPr>
        <w:pStyle w:val="29"/>
        <w:numPr>
          <w:ilvl w:val="0"/>
          <w:numId w:val="4"/>
        </w:numPr>
        <w:ind w:left="425" w:leftChars="0" w:hanging="425" w:firstLineChars="0"/>
        <w:jc w:val="both"/>
        <w:rPr>
          <w:color w:val="auto"/>
          <w:highlight w:val="none"/>
          <w:lang w:val="fr-FR"/>
        </w:rPr>
      </w:pPr>
      <w:r>
        <w:rPr>
          <w:color w:val="auto"/>
          <w:highlight w:val="none"/>
          <w:lang w:val="fr-FR"/>
        </w:rPr>
        <w:t>Engagement des hommes dans la lutte contre les violences basées sur le genre – masculinité positive – les hommes champions</w:t>
      </w:r>
    </w:p>
    <w:p w14:paraId="530A3C94">
      <w:pPr>
        <w:pStyle w:val="29"/>
        <w:numPr>
          <w:ilvl w:val="0"/>
          <w:numId w:val="4"/>
        </w:numPr>
        <w:ind w:left="425" w:leftChars="0" w:hanging="425" w:firstLineChars="0"/>
        <w:jc w:val="both"/>
        <w:rPr>
          <w:color w:val="auto"/>
          <w:highlight w:val="none"/>
          <w:lang w:val="fr-FR"/>
        </w:rPr>
      </w:pPr>
      <w:r>
        <w:rPr>
          <w:rFonts w:hint="default"/>
          <w:color w:val="auto"/>
          <w:highlight w:val="none"/>
          <w:lang w:val="fr-FR"/>
        </w:rPr>
        <w:t>Intégration</w:t>
      </w:r>
      <w:r>
        <w:rPr>
          <w:rFonts w:hint="default"/>
          <w:color w:val="auto"/>
          <w:highlight w:val="none"/>
          <w:lang w:val="en-US"/>
        </w:rPr>
        <w:t xml:space="preserve"> de la composante r</w:t>
      </w:r>
      <w:r>
        <w:rPr>
          <w:color w:val="auto"/>
          <w:highlight w:val="none"/>
          <w:lang w:val="fr-FR"/>
        </w:rPr>
        <w:t>echerche</w:t>
      </w:r>
    </w:p>
    <w:p w14:paraId="75D6CDEF">
      <w:pPr>
        <w:pStyle w:val="29"/>
        <w:numPr>
          <w:ilvl w:val="0"/>
          <w:numId w:val="0"/>
        </w:numPr>
        <w:jc w:val="both"/>
        <w:rPr>
          <w:color w:val="auto"/>
          <w:highlight w:val="none"/>
          <w:lang w:val="fr-FR"/>
        </w:rPr>
      </w:pPr>
    </w:p>
    <w:sectPr>
      <w:pgSz w:w="11906" w:h="16838"/>
      <w:pgMar w:top="1417" w:right="1417" w:bottom="1417" w:left="1417"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MS Mincho">
    <w:altName w:val="Yu Gothic UI"/>
    <w:panose1 w:val="02020609040205080304"/>
    <w:charset w:val="80"/>
    <w:family w:val="modern"/>
    <w:pitch w:val="default"/>
    <w:sig w:usb0="00000000" w:usb1="00000000" w:usb2="08000012" w:usb3="00000000" w:csb0="0002009F"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Yu Gothic UI">
    <w:panose1 w:val="020B05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92F06FB"/>
    <w:multiLevelType w:val="singleLevel"/>
    <w:tmpl w:val="992F06FB"/>
    <w:lvl w:ilvl="0" w:tentative="0">
      <w:start w:val="1"/>
      <w:numFmt w:val="decimal"/>
      <w:suff w:val="space"/>
      <w:lvlText w:val="%1."/>
      <w:lvlJc w:val="left"/>
    </w:lvl>
  </w:abstractNum>
  <w:abstractNum w:abstractNumId="1">
    <w:nsid w:val="39D31733"/>
    <w:multiLevelType w:val="singleLevel"/>
    <w:tmpl w:val="39D31733"/>
    <w:lvl w:ilvl="0" w:tentative="0">
      <w:start w:val="1"/>
      <w:numFmt w:val="decimal"/>
      <w:suff w:val="space"/>
      <w:lvlText w:val="%1."/>
      <w:lvlJc w:val="left"/>
    </w:lvl>
  </w:abstractNum>
  <w:abstractNum w:abstractNumId="2">
    <w:nsid w:val="402EE2D5"/>
    <w:multiLevelType w:val="singleLevel"/>
    <w:tmpl w:val="402EE2D5"/>
    <w:lvl w:ilvl="0" w:tentative="0">
      <w:start w:val="1"/>
      <w:numFmt w:val="decimal"/>
      <w:lvlText w:val="%1."/>
      <w:lvlJc w:val="left"/>
      <w:pPr>
        <w:tabs>
          <w:tab w:val="left" w:pos="425"/>
        </w:tabs>
        <w:ind w:left="425" w:leftChars="0" w:hanging="425" w:firstLineChars="0"/>
      </w:pPr>
      <w:rPr>
        <w:rFonts w:hint="default"/>
      </w:rPr>
    </w:lvl>
  </w:abstractNum>
  <w:abstractNum w:abstractNumId="3">
    <w:nsid w:val="5A2DD6A2"/>
    <w:multiLevelType w:val="singleLevel"/>
    <w:tmpl w:val="5A2DD6A2"/>
    <w:lvl w:ilvl="0" w:tentative="0">
      <w:start w:val="1"/>
      <w:numFmt w:val="decimal"/>
      <w:suff w:val="space"/>
      <w:lvlText w:val="%1."/>
      <w:lvlJc w:val="left"/>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4E2C"/>
    <w:rsid w:val="00043E71"/>
    <w:rsid w:val="0004781F"/>
    <w:rsid w:val="0006141F"/>
    <w:rsid w:val="00064886"/>
    <w:rsid w:val="00067F8E"/>
    <w:rsid w:val="00077D43"/>
    <w:rsid w:val="000900AE"/>
    <w:rsid w:val="00090D03"/>
    <w:rsid w:val="00093FD7"/>
    <w:rsid w:val="000B01EE"/>
    <w:rsid w:val="000B55E2"/>
    <w:rsid w:val="000E04BB"/>
    <w:rsid w:val="000E4079"/>
    <w:rsid w:val="001156BD"/>
    <w:rsid w:val="00122892"/>
    <w:rsid w:val="001346DA"/>
    <w:rsid w:val="00136EBD"/>
    <w:rsid w:val="00141BDA"/>
    <w:rsid w:val="00154FB2"/>
    <w:rsid w:val="00155855"/>
    <w:rsid w:val="00164CB9"/>
    <w:rsid w:val="00177715"/>
    <w:rsid w:val="0018700A"/>
    <w:rsid w:val="001B10A0"/>
    <w:rsid w:val="001B6C77"/>
    <w:rsid w:val="001C5BB4"/>
    <w:rsid w:val="001D4B9C"/>
    <w:rsid w:val="001D64EB"/>
    <w:rsid w:val="001E2CDD"/>
    <w:rsid w:val="001E3242"/>
    <w:rsid w:val="001E48F3"/>
    <w:rsid w:val="001E5DC7"/>
    <w:rsid w:val="001E6542"/>
    <w:rsid w:val="001E6F4D"/>
    <w:rsid w:val="001F5FF2"/>
    <w:rsid w:val="001F75AE"/>
    <w:rsid w:val="002011F0"/>
    <w:rsid w:val="002018DE"/>
    <w:rsid w:val="00202A97"/>
    <w:rsid w:val="00216283"/>
    <w:rsid w:val="00224CE5"/>
    <w:rsid w:val="0022692D"/>
    <w:rsid w:val="002403C7"/>
    <w:rsid w:val="00265446"/>
    <w:rsid w:val="00283B94"/>
    <w:rsid w:val="002971F1"/>
    <w:rsid w:val="002A2AAC"/>
    <w:rsid w:val="002A78CB"/>
    <w:rsid w:val="002B7762"/>
    <w:rsid w:val="002B79E1"/>
    <w:rsid w:val="002D060E"/>
    <w:rsid w:val="002E0ADC"/>
    <w:rsid w:val="002F1A7D"/>
    <w:rsid w:val="002F6B6B"/>
    <w:rsid w:val="00302892"/>
    <w:rsid w:val="00324E01"/>
    <w:rsid w:val="003535C8"/>
    <w:rsid w:val="00370D6C"/>
    <w:rsid w:val="00375E86"/>
    <w:rsid w:val="00377463"/>
    <w:rsid w:val="00393FA8"/>
    <w:rsid w:val="003B1B36"/>
    <w:rsid w:val="003B25E8"/>
    <w:rsid w:val="003D5698"/>
    <w:rsid w:val="00427BEB"/>
    <w:rsid w:val="0043762C"/>
    <w:rsid w:val="00447E21"/>
    <w:rsid w:val="00450D79"/>
    <w:rsid w:val="00451EA6"/>
    <w:rsid w:val="00451FCF"/>
    <w:rsid w:val="004A1689"/>
    <w:rsid w:val="004B3339"/>
    <w:rsid w:val="004B35CD"/>
    <w:rsid w:val="004C3040"/>
    <w:rsid w:val="004D2AF6"/>
    <w:rsid w:val="004F0462"/>
    <w:rsid w:val="004F30FF"/>
    <w:rsid w:val="00503079"/>
    <w:rsid w:val="00504B7F"/>
    <w:rsid w:val="00516328"/>
    <w:rsid w:val="005205BE"/>
    <w:rsid w:val="005239F1"/>
    <w:rsid w:val="00543E77"/>
    <w:rsid w:val="00561F33"/>
    <w:rsid w:val="00567BB3"/>
    <w:rsid w:val="0057080A"/>
    <w:rsid w:val="00570A7D"/>
    <w:rsid w:val="00574D7C"/>
    <w:rsid w:val="005751EF"/>
    <w:rsid w:val="00581FC4"/>
    <w:rsid w:val="00586BB8"/>
    <w:rsid w:val="00586CC2"/>
    <w:rsid w:val="005903DA"/>
    <w:rsid w:val="00591606"/>
    <w:rsid w:val="005D10AE"/>
    <w:rsid w:val="005D5EB7"/>
    <w:rsid w:val="005E28C4"/>
    <w:rsid w:val="005E6F6A"/>
    <w:rsid w:val="005F1191"/>
    <w:rsid w:val="00602BEF"/>
    <w:rsid w:val="00611E38"/>
    <w:rsid w:val="00615AF2"/>
    <w:rsid w:val="00621B82"/>
    <w:rsid w:val="00621FFC"/>
    <w:rsid w:val="00622AC1"/>
    <w:rsid w:val="00622F00"/>
    <w:rsid w:val="0063116E"/>
    <w:rsid w:val="00632B12"/>
    <w:rsid w:val="006434A9"/>
    <w:rsid w:val="00652C02"/>
    <w:rsid w:val="00661233"/>
    <w:rsid w:val="006814CF"/>
    <w:rsid w:val="00683BDF"/>
    <w:rsid w:val="00687AA6"/>
    <w:rsid w:val="00691D1A"/>
    <w:rsid w:val="00696638"/>
    <w:rsid w:val="006A3677"/>
    <w:rsid w:val="006B6C70"/>
    <w:rsid w:val="006C0CFE"/>
    <w:rsid w:val="006C16A1"/>
    <w:rsid w:val="006D6811"/>
    <w:rsid w:val="006E22AD"/>
    <w:rsid w:val="006E3FAD"/>
    <w:rsid w:val="006F3CF7"/>
    <w:rsid w:val="006F5648"/>
    <w:rsid w:val="00706027"/>
    <w:rsid w:val="00734950"/>
    <w:rsid w:val="00742184"/>
    <w:rsid w:val="0075144B"/>
    <w:rsid w:val="00752CFC"/>
    <w:rsid w:val="0077015D"/>
    <w:rsid w:val="00771E9A"/>
    <w:rsid w:val="00786B28"/>
    <w:rsid w:val="0079682A"/>
    <w:rsid w:val="007A0DB4"/>
    <w:rsid w:val="007A45EC"/>
    <w:rsid w:val="007A6AE1"/>
    <w:rsid w:val="007C55DC"/>
    <w:rsid w:val="007D06A5"/>
    <w:rsid w:val="007D49B1"/>
    <w:rsid w:val="007E24D5"/>
    <w:rsid w:val="007E4E2C"/>
    <w:rsid w:val="007F1268"/>
    <w:rsid w:val="007F4420"/>
    <w:rsid w:val="00806792"/>
    <w:rsid w:val="00811769"/>
    <w:rsid w:val="00815178"/>
    <w:rsid w:val="008177F3"/>
    <w:rsid w:val="008204B6"/>
    <w:rsid w:val="00820D88"/>
    <w:rsid w:val="008275D1"/>
    <w:rsid w:val="00853330"/>
    <w:rsid w:val="00854818"/>
    <w:rsid w:val="00855C6C"/>
    <w:rsid w:val="00870531"/>
    <w:rsid w:val="00871BCA"/>
    <w:rsid w:val="00872B72"/>
    <w:rsid w:val="0087741A"/>
    <w:rsid w:val="00880FE5"/>
    <w:rsid w:val="008819E4"/>
    <w:rsid w:val="00887192"/>
    <w:rsid w:val="00895432"/>
    <w:rsid w:val="00896521"/>
    <w:rsid w:val="008A32C2"/>
    <w:rsid w:val="008B6636"/>
    <w:rsid w:val="008C198B"/>
    <w:rsid w:val="008C27D2"/>
    <w:rsid w:val="008D1902"/>
    <w:rsid w:val="008F2019"/>
    <w:rsid w:val="008F2B76"/>
    <w:rsid w:val="00900965"/>
    <w:rsid w:val="00935726"/>
    <w:rsid w:val="00955747"/>
    <w:rsid w:val="00955FBB"/>
    <w:rsid w:val="00960453"/>
    <w:rsid w:val="00960E19"/>
    <w:rsid w:val="00962E4B"/>
    <w:rsid w:val="00971D2E"/>
    <w:rsid w:val="009760C6"/>
    <w:rsid w:val="00985469"/>
    <w:rsid w:val="009A5352"/>
    <w:rsid w:val="009A720E"/>
    <w:rsid w:val="009B02F2"/>
    <w:rsid w:val="009E175A"/>
    <w:rsid w:val="009E7071"/>
    <w:rsid w:val="009F6E7C"/>
    <w:rsid w:val="00A00E64"/>
    <w:rsid w:val="00A04204"/>
    <w:rsid w:val="00A04B3A"/>
    <w:rsid w:val="00A2382C"/>
    <w:rsid w:val="00A2640A"/>
    <w:rsid w:val="00A34566"/>
    <w:rsid w:val="00A346F2"/>
    <w:rsid w:val="00A41AC0"/>
    <w:rsid w:val="00A466B8"/>
    <w:rsid w:val="00A62049"/>
    <w:rsid w:val="00A64DCB"/>
    <w:rsid w:val="00A65807"/>
    <w:rsid w:val="00A7798B"/>
    <w:rsid w:val="00A90BD2"/>
    <w:rsid w:val="00AB3894"/>
    <w:rsid w:val="00AB510A"/>
    <w:rsid w:val="00AC00D0"/>
    <w:rsid w:val="00AC0C96"/>
    <w:rsid w:val="00AE1D9C"/>
    <w:rsid w:val="00AE7089"/>
    <w:rsid w:val="00AF056C"/>
    <w:rsid w:val="00AF15D7"/>
    <w:rsid w:val="00AF3E0A"/>
    <w:rsid w:val="00AF4706"/>
    <w:rsid w:val="00AF684D"/>
    <w:rsid w:val="00AF79A6"/>
    <w:rsid w:val="00B12BC2"/>
    <w:rsid w:val="00B1380D"/>
    <w:rsid w:val="00B16A4A"/>
    <w:rsid w:val="00B254CD"/>
    <w:rsid w:val="00B30566"/>
    <w:rsid w:val="00B54879"/>
    <w:rsid w:val="00B62D8D"/>
    <w:rsid w:val="00B7222E"/>
    <w:rsid w:val="00B76D65"/>
    <w:rsid w:val="00B83451"/>
    <w:rsid w:val="00B844B4"/>
    <w:rsid w:val="00B94B4B"/>
    <w:rsid w:val="00B9513F"/>
    <w:rsid w:val="00BA7322"/>
    <w:rsid w:val="00BA7E6A"/>
    <w:rsid w:val="00BC0B24"/>
    <w:rsid w:val="00BC6BFD"/>
    <w:rsid w:val="00BE3D0D"/>
    <w:rsid w:val="00BE6244"/>
    <w:rsid w:val="00BE7694"/>
    <w:rsid w:val="00BF3A16"/>
    <w:rsid w:val="00BF5807"/>
    <w:rsid w:val="00BF72F3"/>
    <w:rsid w:val="00C30B94"/>
    <w:rsid w:val="00C33E05"/>
    <w:rsid w:val="00C429C6"/>
    <w:rsid w:val="00C44A70"/>
    <w:rsid w:val="00C4698C"/>
    <w:rsid w:val="00C476AA"/>
    <w:rsid w:val="00C56899"/>
    <w:rsid w:val="00C85B41"/>
    <w:rsid w:val="00C97E5C"/>
    <w:rsid w:val="00CA00ED"/>
    <w:rsid w:val="00CA7285"/>
    <w:rsid w:val="00CB1B79"/>
    <w:rsid w:val="00CC156F"/>
    <w:rsid w:val="00CE3A25"/>
    <w:rsid w:val="00D01DC3"/>
    <w:rsid w:val="00D15F4F"/>
    <w:rsid w:val="00D174EC"/>
    <w:rsid w:val="00D26EC7"/>
    <w:rsid w:val="00D3038F"/>
    <w:rsid w:val="00D401E1"/>
    <w:rsid w:val="00D44A03"/>
    <w:rsid w:val="00D57957"/>
    <w:rsid w:val="00D70F00"/>
    <w:rsid w:val="00D82E30"/>
    <w:rsid w:val="00D9027C"/>
    <w:rsid w:val="00DA4BA9"/>
    <w:rsid w:val="00DA782C"/>
    <w:rsid w:val="00DB110C"/>
    <w:rsid w:val="00DC0CD2"/>
    <w:rsid w:val="00DC6FF4"/>
    <w:rsid w:val="00DD6DFF"/>
    <w:rsid w:val="00DF1A99"/>
    <w:rsid w:val="00DF3FB5"/>
    <w:rsid w:val="00E002EE"/>
    <w:rsid w:val="00E21491"/>
    <w:rsid w:val="00E27855"/>
    <w:rsid w:val="00E3167A"/>
    <w:rsid w:val="00E53B71"/>
    <w:rsid w:val="00E6599C"/>
    <w:rsid w:val="00E8148E"/>
    <w:rsid w:val="00E81746"/>
    <w:rsid w:val="00E84902"/>
    <w:rsid w:val="00E91802"/>
    <w:rsid w:val="00E9202A"/>
    <w:rsid w:val="00E95CF3"/>
    <w:rsid w:val="00EB2C89"/>
    <w:rsid w:val="00EB3C73"/>
    <w:rsid w:val="00EB68B0"/>
    <w:rsid w:val="00EB6920"/>
    <w:rsid w:val="00EC157D"/>
    <w:rsid w:val="00ED0FEC"/>
    <w:rsid w:val="00ED14BE"/>
    <w:rsid w:val="00EE0F7F"/>
    <w:rsid w:val="00EF5A92"/>
    <w:rsid w:val="00EF6D3D"/>
    <w:rsid w:val="00F05CE4"/>
    <w:rsid w:val="00F17F6A"/>
    <w:rsid w:val="00F3452F"/>
    <w:rsid w:val="00F425D4"/>
    <w:rsid w:val="00F45B0D"/>
    <w:rsid w:val="00F51410"/>
    <w:rsid w:val="00F52DF3"/>
    <w:rsid w:val="00F537E9"/>
    <w:rsid w:val="00F5410C"/>
    <w:rsid w:val="00F76F08"/>
    <w:rsid w:val="00F900EE"/>
    <w:rsid w:val="00F93593"/>
    <w:rsid w:val="00FB1A99"/>
    <w:rsid w:val="00FB4490"/>
    <w:rsid w:val="00FD78D1"/>
    <w:rsid w:val="00FE6A56"/>
    <w:rsid w:val="00FF66AC"/>
    <w:rsid w:val="0289225A"/>
    <w:rsid w:val="040D6449"/>
    <w:rsid w:val="089D5EE4"/>
    <w:rsid w:val="09C474A0"/>
    <w:rsid w:val="0E4530EB"/>
    <w:rsid w:val="1683496B"/>
    <w:rsid w:val="16D76A65"/>
    <w:rsid w:val="171657DF"/>
    <w:rsid w:val="19674910"/>
    <w:rsid w:val="1F2F2272"/>
    <w:rsid w:val="23D06D16"/>
    <w:rsid w:val="23E10F23"/>
    <w:rsid w:val="25BB5BC8"/>
    <w:rsid w:val="27CB43C4"/>
    <w:rsid w:val="2B105123"/>
    <w:rsid w:val="2D5230D5"/>
    <w:rsid w:val="2E861045"/>
    <w:rsid w:val="330E785B"/>
    <w:rsid w:val="355A28E3"/>
    <w:rsid w:val="36853FB3"/>
    <w:rsid w:val="3C8F37BA"/>
    <w:rsid w:val="44156897"/>
    <w:rsid w:val="454F7F8B"/>
    <w:rsid w:val="45DD57D9"/>
    <w:rsid w:val="47356D0C"/>
    <w:rsid w:val="512F2A1E"/>
    <w:rsid w:val="549E26A4"/>
    <w:rsid w:val="58F11A7C"/>
    <w:rsid w:val="5ABC601F"/>
    <w:rsid w:val="5CD64696"/>
    <w:rsid w:val="612754C0"/>
    <w:rsid w:val="65FC1361"/>
    <w:rsid w:val="66E856F1"/>
    <w:rsid w:val="67EC2FBF"/>
    <w:rsid w:val="6ABC4ECB"/>
    <w:rsid w:val="6DD141E5"/>
    <w:rsid w:val="70F73101"/>
    <w:rsid w:val="78B4268A"/>
    <w:rsid w:val="7BD209F2"/>
    <w:rsid w:val="7E2101F4"/>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Balloon Text"/>
    <w:lsdException w:qFormat="1" w:unhideWhenUsed="0" w:uiPriority="1" w:semiHidden="0" w:name="No Spacing"/>
    <w:lsdException w:qFormat="1" w:unhideWhenUsed="0" w:uiPriority="34" w:semiHidden="0" w:name="List Paragraph"/>
    <w:lsdException w:qFormat="1" w:unhideWhenUsed="0" w:uiPriority="29" w:semiHidden="0" w:name="Quote"/>
    <w:lsdException w:qFormat="1" w:unhideWhenUsed="0" w:uiPriority="30" w:semiHidden="0" w:name="Intense Quote"/>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zh-CN"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character" w:styleId="12">
    <w:name w:val="Hyperlink"/>
    <w:basedOn w:val="11"/>
    <w:unhideWhenUsed/>
    <w:qFormat/>
    <w:uiPriority w:val="99"/>
    <w:rPr>
      <w:color w:val="467886" w:themeColor="hyperlink"/>
      <w:u w:val="single"/>
      <w14:textFill>
        <w14:solidFill>
          <w14:schemeClr w14:val="hlink"/>
        </w14:solidFill>
      </w14:textFill>
    </w:rPr>
  </w:style>
  <w:style w:type="paragraph" w:styleId="13">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7">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8">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19">
    <w:name w:val="Heading 4 Char"/>
    <w:basedOn w:val="11"/>
    <w:link w:val="5"/>
    <w:semiHidden/>
    <w:qFormat/>
    <w:uiPriority w:val="9"/>
    <w:rPr>
      <w:rFonts w:eastAsiaTheme="majorEastAsia" w:cstheme="majorBidi"/>
      <w:i/>
      <w:iCs/>
      <w:color w:val="104862" w:themeColor="accent1" w:themeShade="BF"/>
    </w:rPr>
  </w:style>
  <w:style w:type="character" w:customStyle="1" w:styleId="20">
    <w:name w:val="Heading 5 Char"/>
    <w:basedOn w:val="11"/>
    <w:link w:val="6"/>
    <w:semiHidden/>
    <w:qFormat/>
    <w:uiPriority w:val="9"/>
    <w:rPr>
      <w:rFonts w:eastAsiaTheme="majorEastAsia" w:cstheme="majorBidi"/>
      <w:color w:val="104862" w:themeColor="accent1" w:themeShade="BF"/>
    </w:rPr>
  </w:style>
  <w:style w:type="character" w:customStyle="1" w:styleId="21">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104862" w:themeColor="accent1" w:themeShade="BF"/>
    </w:rPr>
  </w:style>
  <w:style w:type="paragraph" w:styleId="31">
    <w:name w:val="Intense Quote"/>
    <w:basedOn w:val="1"/>
    <w:next w:val="1"/>
    <w:link w:val="3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2">
    <w:name w:val="Intense Quote Char"/>
    <w:basedOn w:val="11"/>
    <w:link w:val="31"/>
    <w:qFormat/>
    <w:uiPriority w:val="30"/>
    <w:rPr>
      <w:i/>
      <w:iCs/>
      <w:color w:val="104862" w:themeColor="accent1" w:themeShade="BF"/>
    </w:rPr>
  </w:style>
  <w:style w:type="character" w:customStyle="1" w:styleId="33">
    <w:name w:val="Intense Reference"/>
    <w:basedOn w:val="11"/>
    <w:qFormat/>
    <w:uiPriority w:val="32"/>
    <w:rPr>
      <w:b/>
      <w:bCs/>
      <w:smallCaps/>
      <w:color w:val="104862" w:themeColor="accent1" w:themeShade="BF"/>
      <w:spacing w:val="5"/>
    </w:rPr>
  </w:style>
  <w:style w:type="paragraph" w:styleId="34">
    <w:name w:val="No Spacing"/>
    <w:qFormat/>
    <w:uiPriority w:val="1"/>
    <w:pPr>
      <w:spacing w:after="0" w:line="240" w:lineRule="auto"/>
    </w:pPr>
    <w:rPr>
      <w:rFonts w:eastAsia="MS Mincho" w:asciiTheme="minorHAnsi" w:hAnsiTheme="minorHAnsi" w:cstheme="minorBidi"/>
      <w:kern w:val="0"/>
      <w:sz w:val="22"/>
      <w:szCs w:val="22"/>
      <w:lang w:val="fr-FR" w:eastAsia="en-US" w:bidi="ar-SA"/>
      <w14:ligatures w14:val="none"/>
    </w:rPr>
  </w:style>
  <w:style w:type="character" w:customStyle="1" w:styleId="35">
    <w:name w:val="Unresolved Mention"/>
    <w:basedOn w:val="1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568</Words>
  <Characters>2699</Characters>
  <Lines>97</Lines>
  <Paragraphs>27</Paragraphs>
  <TotalTime>4</TotalTime>
  <ScaleCrop>false</ScaleCrop>
  <LinksUpToDate>false</LinksUpToDate>
  <CharactersWithSpaces>3218</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2026-03-27T21:16:00Z</dcterms:created>
  <dc:creator>Domitille Ntacobakimvuna</dc:creator>
  <cp:lastModifiedBy>Domittile</cp:lastModifiedBy>
  <dcterms:modified xsi:type="dcterms:W3CDTF">2026-07-24T09:39:41Z</dcterms:modified>
  <cp:revision>308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eyJoZGlkIjoiNWMyODJmMmI5MmRhNDk5ZjVkZTA2NmYzZWM2MWNiNzAifQ==</vt:lpwstr>
  </property>
  <property fmtid="{D5CDD505-2E9C-101B-9397-08002B2CF9AE}" pid="3" name="KSOProductBuildVer">
    <vt:lpwstr>1036-12.1.0.27458</vt:lpwstr>
  </property>
  <property fmtid="{D5CDD505-2E9C-101B-9397-08002B2CF9AE}" pid="4" name="ICV">
    <vt:lpwstr>A58542C271FA46E2BA7D3F059186CEB4_12</vt:lpwstr>
  </property>
</Properties>
</file>