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C7C28" w:rsidRDefault="00C43DB0" w:rsidP="00A12269">
      <w:pPr>
        <w:pBdr>
          <w:top w:val="single" w:sz="4" w:space="1" w:color="000000"/>
          <w:left w:val="single" w:sz="4" w:space="1" w:color="000000"/>
          <w:bottom w:val="single" w:sz="4" w:space="1" w:color="000000"/>
          <w:right w:val="single" w:sz="4" w:space="4" w:color="000000"/>
        </w:pBdr>
        <w:snapToGrid w:val="0"/>
        <w:jc w:val="center"/>
      </w:pPr>
      <w:r>
        <w:rPr>
          <w:b/>
          <w:bCs/>
          <w:color w:val="000000"/>
          <w:sz w:val="22"/>
          <w:szCs w:val="22"/>
        </w:rPr>
        <w:t>Accélération du déploiement des</w:t>
      </w:r>
      <w:r>
        <w:rPr>
          <w:b/>
          <w:bCs/>
          <w:color w:val="000000"/>
          <w:sz w:val="22"/>
          <w:szCs w:val="22"/>
        </w:rPr>
        <w:br/>
      </w:r>
      <w:r w:rsidR="006A66E5">
        <w:rPr>
          <w:b/>
          <w:bCs/>
          <w:color w:val="000000"/>
          <w:sz w:val="22"/>
          <w:szCs w:val="22"/>
        </w:rPr>
        <w:t>i</w:t>
      </w:r>
      <w:r>
        <w:rPr>
          <w:b/>
          <w:bCs/>
          <w:color w:val="000000"/>
          <w:sz w:val="22"/>
          <w:szCs w:val="22"/>
        </w:rPr>
        <w:t>nfrastructures de recharge pour véhicules électriques</w:t>
      </w:r>
      <w:r w:rsidR="00967DD9">
        <w:rPr>
          <w:b/>
          <w:bCs/>
          <w:color w:val="000000"/>
          <w:sz w:val="22"/>
          <w:szCs w:val="22"/>
        </w:rPr>
        <w:t xml:space="preserve"> </w:t>
      </w:r>
      <w:r w:rsidR="00A543AC">
        <w:rPr>
          <w:b/>
          <w:bCs/>
          <w:color w:val="000000"/>
          <w:sz w:val="22"/>
          <w:szCs w:val="22"/>
        </w:rPr>
        <w:t>(IRVE)</w:t>
      </w:r>
      <w:r w:rsidR="006A66E5">
        <w:rPr>
          <w:b/>
          <w:bCs/>
          <w:color w:val="000000"/>
          <w:sz w:val="22"/>
          <w:szCs w:val="22"/>
        </w:rPr>
        <w:br/>
      </w:r>
      <w:r>
        <w:rPr>
          <w:b/>
          <w:bCs/>
          <w:color w:val="000000"/>
          <w:sz w:val="22"/>
          <w:szCs w:val="22"/>
        </w:rPr>
        <w:br/>
        <w:t>Nouvelles propositions</w:t>
      </w:r>
      <w:r w:rsidR="00907ABB">
        <w:rPr>
          <w:b/>
          <w:bCs/>
          <w:color w:val="000000"/>
          <w:sz w:val="22"/>
          <w:szCs w:val="22"/>
        </w:rPr>
        <w:t xml:space="preserve"> pour répondre aux besoins</w:t>
      </w:r>
      <w:r w:rsidR="006A66E5">
        <w:rPr>
          <w:b/>
          <w:bCs/>
          <w:color w:val="000000"/>
          <w:sz w:val="22"/>
          <w:szCs w:val="22"/>
        </w:rPr>
        <w:t xml:space="preserve"> </w:t>
      </w:r>
      <w:r w:rsidR="006A66E5" w:rsidRPr="006A66E5">
        <w:rPr>
          <w:b/>
          <w:bCs/>
          <w:color w:val="000000"/>
          <w:sz w:val="22"/>
          <w:szCs w:val="22"/>
          <w:u w:val="single"/>
        </w:rPr>
        <w:t>de raccordement au réseau de distribution</w:t>
      </w:r>
    </w:p>
    <w:p w:rsidR="00EC7C28" w:rsidRDefault="00EC7C28" w:rsidP="00A12269">
      <w:pPr>
        <w:jc w:val="both"/>
        <w:rPr>
          <w:b/>
          <w:sz w:val="22"/>
          <w:szCs w:val="22"/>
        </w:rPr>
      </w:pPr>
    </w:p>
    <w:p w:rsidR="000E0155" w:rsidRDefault="000E0155" w:rsidP="00A12269">
      <w:pPr>
        <w:jc w:val="both"/>
        <w:rPr>
          <w:b/>
          <w:sz w:val="22"/>
          <w:szCs w:val="22"/>
        </w:rPr>
      </w:pPr>
    </w:p>
    <w:p w:rsidR="00AE7D15" w:rsidRPr="00B25F32" w:rsidRDefault="00A543AC" w:rsidP="00AE7D15">
      <w:pPr>
        <w:pStyle w:val="NormalWeb"/>
        <w:numPr>
          <w:ilvl w:val="0"/>
          <w:numId w:val="18"/>
        </w:numPr>
        <w:spacing w:before="0" w:beforeAutospacing="0" w:after="0" w:line="240" w:lineRule="auto"/>
        <w:jc w:val="both"/>
        <w:rPr>
          <w:b/>
          <w:sz w:val="22"/>
          <w:szCs w:val="22"/>
        </w:rPr>
      </w:pPr>
      <w:r>
        <w:rPr>
          <w:b/>
          <w:sz w:val="22"/>
          <w:szCs w:val="22"/>
        </w:rPr>
        <w:t>Réseaux électriques (ENEDIS et RTE)</w:t>
      </w:r>
      <w:r w:rsidR="000E0155">
        <w:rPr>
          <w:b/>
          <w:sz w:val="22"/>
          <w:szCs w:val="22"/>
        </w:rPr>
        <w:t xml:space="preserve"> </w:t>
      </w:r>
    </w:p>
    <w:p w:rsidR="00AE7D15" w:rsidRDefault="00AE7D15" w:rsidP="00AE7D15">
      <w:pPr>
        <w:jc w:val="both"/>
        <w:rPr>
          <w:sz w:val="22"/>
          <w:szCs w:val="22"/>
        </w:rPr>
      </w:pPr>
    </w:p>
    <w:p w:rsidR="00E02451" w:rsidRDefault="00E02451" w:rsidP="00E02451">
      <w:pPr>
        <w:pBdr>
          <w:top w:val="single" w:sz="4" w:space="1" w:color="auto"/>
          <w:left w:val="single" w:sz="4" w:space="4" w:color="auto"/>
          <w:bottom w:val="single" w:sz="4" w:space="1" w:color="auto"/>
          <w:right w:val="single" w:sz="4" w:space="4" w:color="auto"/>
        </w:pBdr>
        <w:jc w:val="both"/>
        <w:rPr>
          <w:b/>
          <w:sz w:val="22"/>
          <w:szCs w:val="22"/>
        </w:rPr>
      </w:pPr>
      <w:r w:rsidRPr="00E02451">
        <w:rPr>
          <w:b/>
          <w:sz w:val="22"/>
          <w:szCs w:val="22"/>
        </w:rPr>
        <w:t xml:space="preserve">Il est proposé que le MTE </w:t>
      </w:r>
      <w:r>
        <w:rPr>
          <w:b/>
          <w:sz w:val="22"/>
          <w:szCs w:val="22"/>
        </w:rPr>
        <w:t xml:space="preserve">puisse </w:t>
      </w:r>
      <w:r w:rsidRPr="00E02451">
        <w:rPr>
          <w:b/>
          <w:sz w:val="22"/>
          <w:szCs w:val="22"/>
        </w:rPr>
        <w:t>valid</w:t>
      </w:r>
      <w:r>
        <w:rPr>
          <w:b/>
          <w:sz w:val="22"/>
          <w:szCs w:val="22"/>
        </w:rPr>
        <w:t>er</w:t>
      </w:r>
      <w:r w:rsidRPr="00E02451">
        <w:rPr>
          <w:b/>
          <w:sz w:val="22"/>
          <w:szCs w:val="22"/>
        </w:rPr>
        <w:t xml:space="preserve"> un </w:t>
      </w:r>
      <w:r>
        <w:rPr>
          <w:b/>
          <w:sz w:val="22"/>
          <w:szCs w:val="22"/>
        </w:rPr>
        <w:t>« </w:t>
      </w:r>
      <w:r w:rsidRPr="00E02451">
        <w:rPr>
          <w:b/>
          <w:sz w:val="22"/>
          <w:szCs w:val="22"/>
        </w:rPr>
        <w:t>schéma national des raccordements des IRVE</w:t>
      </w:r>
      <w:r>
        <w:rPr>
          <w:b/>
          <w:sz w:val="22"/>
          <w:szCs w:val="22"/>
        </w:rPr>
        <w:t> »</w:t>
      </w:r>
      <w:r w:rsidRPr="00E02451">
        <w:rPr>
          <w:b/>
          <w:sz w:val="22"/>
          <w:szCs w:val="22"/>
        </w:rPr>
        <w:t xml:space="preserve"> (réalisé en </w:t>
      </w:r>
      <w:r w:rsidR="00D3419A">
        <w:rPr>
          <w:b/>
          <w:sz w:val="22"/>
          <w:szCs w:val="22"/>
        </w:rPr>
        <w:t xml:space="preserve">étroite </w:t>
      </w:r>
      <w:r w:rsidRPr="00E02451">
        <w:rPr>
          <w:b/>
          <w:sz w:val="22"/>
          <w:szCs w:val="22"/>
        </w:rPr>
        <w:t>collaboration avec ENEDIS et RTE)</w:t>
      </w:r>
      <w:r w:rsidR="00B6404F" w:rsidRPr="00E02451">
        <w:rPr>
          <w:b/>
          <w:sz w:val="22"/>
          <w:szCs w:val="22"/>
        </w:rPr>
        <w:t xml:space="preserve"> </w:t>
      </w:r>
      <w:r>
        <w:rPr>
          <w:b/>
          <w:sz w:val="22"/>
          <w:szCs w:val="22"/>
        </w:rPr>
        <w:t>dans le but d’anticiper les travaux de re</w:t>
      </w:r>
      <w:r w:rsidRPr="00E02451">
        <w:rPr>
          <w:b/>
          <w:sz w:val="22"/>
          <w:szCs w:val="22"/>
        </w:rPr>
        <w:t xml:space="preserve">nforcement </w:t>
      </w:r>
      <w:r>
        <w:rPr>
          <w:b/>
          <w:sz w:val="22"/>
          <w:szCs w:val="22"/>
        </w:rPr>
        <w:t xml:space="preserve">du réseau </w:t>
      </w:r>
      <w:r w:rsidRPr="00E02451">
        <w:rPr>
          <w:b/>
          <w:sz w:val="22"/>
          <w:szCs w:val="22"/>
        </w:rPr>
        <w:t>(</w:t>
      </w:r>
      <w:r w:rsidR="00D3419A">
        <w:rPr>
          <w:b/>
          <w:sz w:val="22"/>
          <w:szCs w:val="22"/>
        </w:rPr>
        <w:t xml:space="preserve">réseau </w:t>
      </w:r>
      <w:r w:rsidRPr="00E02451">
        <w:rPr>
          <w:b/>
          <w:sz w:val="22"/>
          <w:szCs w:val="22"/>
        </w:rPr>
        <w:t>HTB</w:t>
      </w:r>
      <w:r w:rsidR="00D3419A">
        <w:rPr>
          <w:b/>
          <w:sz w:val="22"/>
          <w:szCs w:val="22"/>
        </w:rPr>
        <w:t>,</w:t>
      </w:r>
      <w:r w:rsidRPr="00E02451">
        <w:rPr>
          <w:b/>
          <w:sz w:val="22"/>
          <w:szCs w:val="22"/>
        </w:rPr>
        <w:t xml:space="preserve"> postes source, </w:t>
      </w:r>
      <w:r w:rsidR="00D3419A">
        <w:rPr>
          <w:b/>
          <w:sz w:val="22"/>
          <w:szCs w:val="22"/>
        </w:rPr>
        <w:t xml:space="preserve">réseau </w:t>
      </w:r>
      <w:r w:rsidRPr="00E02451">
        <w:rPr>
          <w:b/>
          <w:sz w:val="22"/>
          <w:szCs w:val="22"/>
        </w:rPr>
        <w:t>HTA</w:t>
      </w:r>
      <w:r>
        <w:rPr>
          <w:b/>
          <w:sz w:val="22"/>
          <w:szCs w:val="22"/>
        </w:rPr>
        <w:t>,</w:t>
      </w:r>
      <w:r w:rsidRPr="00E02451">
        <w:rPr>
          <w:b/>
          <w:sz w:val="22"/>
          <w:szCs w:val="22"/>
        </w:rPr>
        <w:t xml:space="preserve"> postes de distribution)</w:t>
      </w:r>
      <w:r w:rsidR="00D3419A">
        <w:rPr>
          <w:b/>
          <w:sz w:val="22"/>
          <w:szCs w:val="22"/>
        </w:rPr>
        <w:t xml:space="preserve"> avec 2 principaux objectifs :</w:t>
      </w:r>
    </w:p>
    <w:p w:rsidR="00D3419A" w:rsidRPr="00D3419A" w:rsidRDefault="00D3419A" w:rsidP="00D3419A">
      <w:pPr>
        <w:pStyle w:val="Paragraphedeliste"/>
        <w:numPr>
          <w:ilvl w:val="0"/>
          <w:numId w:val="32"/>
        </w:numPr>
        <w:pBdr>
          <w:top w:val="single" w:sz="4" w:space="1" w:color="auto"/>
          <w:left w:val="single" w:sz="4" w:space="4" w:color="auto"/>
          <w:bottom w:val="single" w:sz="4" w:space="1" w:color="auto"/>
          <w:right w:val="single" w:sz="4" w:space="4" w:color="auto"/>
        </w:pBdr>
        <w:ind w:left="426" w:hanging="426"/>
        <w:rPr>
          <w:b/>
          <w:sz w:val="22"/>
          <w:szCs w:val="22"/>
        </w:rPr>
      </w:pPr>
      <w:r w:rsidRPr="00D3419A">
        <w:rPr>
          <w:b/>
          <w:sz w:val="22"/>
          <w:szCs w:val="22"/>
        </w:rPr>
        <w:t>Gagner en délai en anticipant les travaux, sans attendre les demandes des porteurs de projets</w:t>
      </w:r>
    </w:p>
    <w:p w:rsidR="00D3419A" w:rsidRPr="00D3419A" w:rsidRDefault="00D3419A" w:rsidP="00D3419A">
      <w:pPr>
        <w:pStyle w:val="Paragraphedeliste"/>
        <w:numPr>
          <w:ilvl w:val="0"/>
          <w:numId w:val="32"/>
        </w:numPr>
        <w:pBdr>
          <w:top w:val="single" w:sz="4" w:space="1" w:color="auto"/>
          <w:left w:val="single" w:sz="4" w:space="4" w:color="auto"/>
          <w:bottom w:val="single" w:sz="4" w:space="1" w:color="auto"/>
          <w:right w:val="single" w:sz="4" w:space="4" w:color="auto"/>
        </w:pBdr>
        <w:ind w:left="426" w:hanging="426"/>
        <w:rPr>
          <w:b/>
          <w:sz w:val="22"/>
          <w:szCs w:val="22"/>
        </w:rPr>
      </w:pPr>
      <w:r w:rsidRPr="00D3419A">
        <w:rPr>
          <w:b/>
          <w:sz w:val="22"/>
          <w:szCs w:val="22"/>
        </w:rPr>
        <w:t xml:space="preserve">Mieux répartir les coûts du renforcement en </w:t>
      </w:r>
      <w:r>
        <w:rPr>
          <w:b/>
          <w:sz w:val="22"/>
          <w:szCs w:val="22"/>
        </w:rPr>
        <w:t xml:space="preserve">les </w:t>
      </w:r>
      <w:r w:rsidRPr="00D3419A">
        <w:rPr>
          <w:b/>
          <w:sz w:val="22"/>
          <w:szCs w:val="22"/>
        </w:rPr>
        <w:t>mutualisant</w:t>
      </w:r>
      <w:r>
        <w:rPr>
          <w:b/>
          <w:sz w:val="22"/>
          <w:szCs w:val="22"/>
        </w:rPr>
        <w:t xml:space="preserve"> sur </w:t>
      </w:r>
      <w:r w:rsidR="00796A75">
        <w:rPr>
          <w:b/>
          <w:sz w:val="22"/>
          <w:szCs w:val="22"/>
        </w:rPr>
        <w:t>un</w:t>
      </w:r>
      <w:r>
        <w:rPr>
          <w:b/>
          <w:sz w:val="22"/>
          <w:szCs w:val="22"/>
        </w:rPr>
        <w:t xml:space="preserve"> principe de</w:t>
      </w:r>
      <w:r w:rsidR="00796A75">
        <w:rPr>
          <w:b/>
          <w:sz w:val="22"/>
          <w:szCs w:val="22"/>
        </w:rPr>
        <w:t xml:space="preserve"> type</w:t>
      </w:r>
      <w:r>
        <w:rPr>
          <w:b/>
          <w:sz w:val="22"/>
          <w:szCs w:val="22"/>
        </w:rPr>
        <w:t xml:space="preserve"> S3REnR</w:t>
      </w:r>
      <w:r w:rsidR="00796A75">
        <w:rPr>
          <w:b/>
          <w:sz w:val="22"/>
          <w:szCs w:val="22"/>
        </w:rPr>
        <w:t xml:space="preserve"> ou similaire</w:t>
      </w:r>
    </w:p>
    <w:p w:rsidR="00B6404F" w:rsidRDefault="00B6404F" w:rsidP="00B6404F">
      <w:pPr>
        <w:jc w:val="both"/>
        <w:rPr>
          <w:sz w:val="22"/>
          <w:szCs w:val="22"/>
        </w:rPr>
      </w:pPr>
    </w:p>
    <w:p w:rsidR="00453CDC" w:rsidRDefault="00DE54D0" w:rsidP="00453CDC">
      <w:pPr>
        <w:jc w:val="both"/>
        <w:rPr>
          <w:sz w:val="22"/>
          <w:szCs w:val="22"/>
        </w:rPr>
      </w:pPr>
      <w:r>
        <w:rPr>
          <w:sz w:val="22"/>
          <w:szCs w:val="22"/>
        </w:rPr>
        <w:t>Le déploiement massif des infrastructures de recharge nécessite de nombreux raccordements au réseau de distribution ainsi qu’une capacité d’énergie et de puissance.</w:t>
      </w:r>
      <w:r w:rsidR="00E23B67">
        <w:rPr>
          <w:sz w:val="22"/>
          <w:szCs w:val="22"/>
        </w:rPr>
        <w:t xml:space="preserve"> </w:t>
      </w:r>
      <w:r w:rsidR="00453CDC">
        <w:rPr>
          <w:sz w:val="22"/>
          <w:szCs w:val="22"/>
        </w:rPr>
        <w:t>Les</w:t>
      </w:r>
      <w:r>
        <w:rPr>
          <w:sz w:val="22"/>
          <w:szCs w:val="22"/>
        </w:rPr>
        <w:t xml:space="preserve"> hypothèses </w:t>
      </w:r>
      <w:r w:rsidRPr="00DE54D0">
        <w:rPr>
          <w:sz w:val="22"/>
          <w:szCs w:val="22"/>
        </w:rPr>
        <w:t>retenu</w:t>
      </w:r>
      <w:r>
        <w:rPr>
          <w:sz w:val="22"/>
          <w:szCs w:val="22"/>
        </w:rPr>
        <w:t xml:space="preserve">es par RTE </w:t>
      </w:r>
      <w:r w:rsidRPr="00DE54D0">
        <w:rPr>
          <w:sz w:val="22"/>
          <w:szCs w:val="22"/>
        </w:rPr>
        <w:t>dans le scénario de référence</w:t>
      </w:r>
      <w:r>
        <w:rPr>
          <w:sz w:val="22"/>
          <w:szCs w:val="22"/>
        </w:rPr>
        <w:t xml:space="preserve"> et dans le scénario </w:t>
      </w:r>
      <w:r w:rsidRPr="00DE54D0">
        <w:rPr>
          <w:sz w:val="22"/>
          <w:szCs w:val="22"/>
        </w:rPr>
        <w:t>« électrification+ »</w:t>
      </w:r>
      <w:r>
        <w:rPr>
          <w:sz w:val="22"/>
          <w:szCs w:val="22"/>
        </w:rPr>
        <w:t xml:space="preserve"> </w:t>
      </w:r>
      <w:r w:rsidRPr="00DE54D0">
        <w:rPr>
          <w:sz w:val="22"/>
          <w:szCs w:val="22"/>
        </w:rPr>
        <w:t xml:space="preserve">de l’étude Futurs </w:t>
      </w:r>
      <w:r w:rsidR="00E23B67" w:rsidRPr="00DE54D0">
        <w:rPr>
          <w:sz w:val="22"/>
          <w:szCs w:val="22"/>
        </w:rPr>
        <w:t>Énergétiques</w:t>
      </w:r>
      <w:r w:rsidRPr="00DE54D0">
        <w:rPr>
          <w:sz w:val="22"/>
          <w:szCs w:val="22"/>
        </w:rPr>
        <w:t xml:space="preserve"> 2050 </w:t>
      </w:r>
      <w:r>
        <w:rPr>
          <w:sz w:val="22"/>
          <w:szCs w:val="22"/>
        </w:rPr>
        <w:t>confirment que l</w:t>
      </w:r>
      <w:r w:rsidRPr="00DE54D0">
        <w:rPr>
          <w:sz w:val="22"/>
          <w:szCs w:val="22"/>
        </w:rPr>
        <w:t>a quantité d’électricité consommée par l’ensemble des véhicules électriques (légers et lourds) prévus dans la PPE est gérable à l’horizon 2030 pour le système électrique</w:t>
      </w:r>
      <w:r>
        <w:rPr>
          <w:sz w:val="22"/>
          <w:szCs w:val="22"/>
        </w:rPr>
        <w:t xml:space="preserve">. </w:t>
      </w:r>
      <w:r w:rsidR="00453CDC">
        <w:rPr>
          <w:sz w:val="22"/>
          <w:szCs w:val="22"/>
        </w:rPr>
        <w:t>De plus l’étude conjointe ENEDIS RTE sur « </w:t>
      </w:r>
      <w:r w:rsidR="00453CDC" w:rsidRPr="00453CDC">
        <w:rPr>
          <w:sz w:val="22"/>
          <w:szCs w:val="22"/>
        </w:rPr>
        <w:t>Les besoins électriques</w:t>
      </w:r>
      <w:r w:rsidR="00453CDC">
        <w:rPr>
          <w:sz w:val="22"/>
          <w:szCs w:val="22"/>
        </w:rPr>
        <w:t xml:space="preserve"> </w:t>
      </w:r>
      <w:r w:rsidR="00453CDC" w:rsidRPr="00453CDC">
        <w:rPr>
          <w:sz w:val="22"/>
          <w:szCs w:val="22"/>
        </w:rPr>
        <w:t>de la mobilité longue distance</w:t>
      </w:r>
      <w:r w:rsidR="00453CDC">
        <w:rPr>
          <w:sz w:val="22"/>
          <w:szCs w:val="22"/>
        </w:rPr>
        <w:t xml:space="preserve"> </w:t>
      </w:r>
      <w:r w:rsidR="00453CDC" w:rsidRPr="00453CDC">
        <w:rPr>
          <w:sz w:val="22"/>
          <w:szCs w:val="22"/>
        </w:rPr>
        <w:t>sur autoroute</w:t>
      </w:r>
      <w:r w:rsidR="00453CDC">
        <w:rPr>
          <w:sz w:val="22"/>
          <w:szCs w:val="22"/>
        </w:rPr>
        <w:t xml:space="preserve"> », de juillet 2021 reste globalement d’actualité </w:t>
      </w:r>
      <w:r w:rsidR="00A40A36">
        <w:rPr>
          <w:sz w:val="22"/>
          <w:szCs w:val="22"/>
        </w:rPr>
        <w:t>comme le confirme le document préliminaire 2023 du « plan de développement de réseau »</w:t>
      </w:r>
      <w:r w:rsidR="00A40A36">
        <w:rPr>
          <w:rStyle w:val="Appelnotedebasdep"/>
          <w:sz w:val="22"/>
          <w:szCs w:val="22"/>
        </w:rPr>
        <w:footnoteReference w:id="1"/>
      </w:r>
      <w:r w:rsidR="00A40A36">
        <w:rPr>
          <w:sz w:val="22"/>
          <w:szCs w:val="22"/>
        </w:rPr>
        <w:t xml:space="preserve"> d’ENEDIS </w:t>
      </w:r>
      <w:r w:rsidR="00453CDC">
        <w:rPr>
          <w:sz w:val="22"/>
          <w:szCs w:val="22"/>
        </w:rPr>
        <w:t>et indique que les réseaux électriques sont prêts face à la mobilité électrique</w:t>
      </w:r>
      <w:r w:rsidR="002925E7">
        <w:rPr>
          <w:sz w:val="22"/>
          <w:szCs w:val="22"/>
        </w:rPr>
        <w:t xml:space="preserve"> (hors </w:t>
      </w:r>
      <w:r w:rsidR="00D977A9">
        <w:rPr>
          <w:sz w:val="22"/>
          <w:szCs w:val="22"/>
        </w:rPr>
        <w:t xml:space="preserve">considération de la </w:t>
      </w:r>
      <w:r w:rsidR="002925E7">
        <w:rPr>
          <w:sz w:val="22"/>
          <w:szCs w:val="22"/>
        </w:rPr>
        <w:t>mobilité lourde)</w:t>
      </w:r>
      <w:r w:rsidR="00453CDC">
        <w:rPr>
          <w:sz w:val="22"/>
          <w:szCs w:val="22"/>
        </w:rPr>
        <w:t xml:space="preserve">. </w:t>
      </w:r>
    </w:p>
    <w:p w:rsidR="004B7107" w:rsidRDefault="004B7107" w:rsidP="00453CDC">
      <w:pPr>
        <w:jc w:val="both"/>
        <w:rPr>
          <w:sz w:val="22"/>
          <w:szCs w:val="22"/>
        </w:rPr>
      </w:pPr>
    </w:p>
    <w:p w:rsidR="00453CDC" w:rsidRDefault="00453CDC" w:rsidP="00453CDC">
      <w:pPr>
        <w:jc w:val="both"/>
        <w:rPr>
          <w:sz w:val="22"/>
          <w:szCs w:val="22"/>
        </w:rPr>
      </w:pPr>
      <w:r>
        <w:rPr>
          <w:sz w:val="22"/>
          <w:szCs w:val="22"/>
        </w:rPr>
        <w:t xml:space="preserve">Ces études </w:t>
      </w:r>
      <w:r w:rsidR="001F7CA0">
        <w:rPr>
          <w:sz w:val="22"/>
          <w:szCs w:val="22"/>
        </w:rPr>
        <w:t xml:space="preserve">doivent </w:t>
      </w:r>
      <w:r>
        <w:rPr>
          <w:sz w:val="22"/>
          <w:szCs w:val="22"/>
        </w:rPr>
        <w:t>être actualisées avec les nouvelles prévisions de déploiement de l’électromobilité, notamment en intégrant l’accélération plus rapide du développement des VE, la prise en compte de la mobilité lourde et la généralisation territoriale non limité</w:t>
      </w:r>
      <w:r w:rsidR="005F25CB">
        <w:rPr>
          <w:sz w:val="22"/>
          <w:szCs w:val="22"/>
        </w:rPr>
        <w:t>e</w:t>
      </w:r>
      <w:r>
        <w:rPr>
          <w:sz w:val="22"/>
          <w:szCs w:val="22"/>
        </w:rPr>
        <w:t xml:space="preserve"> aux autoroutes mais à l’ensemble du RTE-T national</w:t>
      </w:r>
      <w:r w:rsidR="00B423E5">
        <w:rPr>
          <w:rStyle w:val="Appelnotedebasdep"/>
          <w:sz w:val="22"/>
          <w:szCs w:val="22"/>
        </w:rPr>
        <w:footnoteReference w:id="2"/>
      </w:r>
      <w:r w:rsidR="005F25CB">
        <w:rPr>
          <w:sz w:val="22"/>
          <w:szCs w:val="22"/>
        </w:rPr>
        <w:t xml:space="preserve">, </w:t>
      </w:r>
      <w:r w:rsidR="00D977A9">
        <w:rPr>
          <w:sz w:val="22"/>
          <w:szCs w:val="22"/>
        </w:rPr>
        <w:t xml:space="preserve">ainsi qu’à la prise en compte des besoins de recharge </w:t>
      </w:r>
      <w:r w:rsidR="0022023E">
        <w:rPr>
          <w:sz w:val="22"/>
          <w:szCs w:val="22"/>
        </w:rPr>
        <w:t xml:space="preserve">privés telles que celle </w:t>
      </w:r>
      <w:r w:rsidR="00D977A9">
        <w:rPr>
          <w:sz w:val="22"/>
          <w:szCs w:val="22"/>
        </w:rPr>
        <w:t>au dépôt des grandes flottes de PL ou sur des centres logistiques d’envergure</w:t>
      </w:r>
      <w:r w:rsidR="005F25CB">
        <w:rPr>
          <w:sz w:val="22"/>
          <w:szCs w:val="22"/>
        </w:rPr>
        <w:t>.</w:t>
      </w:r>
    </w:p>
    <w:p w:rsidR="00B423E5" w:rsidRDefault="00B423E5" w:rsidP="00453CDC">
      <w:pPr>
        <w:jc w:val="both"/>
        <w:rPr>
          <w:sz w:val="22"/>
          <w:szCs w:val="22"/>
        </w:rPr>
      </w:pPr>
    </w:p>
    <w:p w:rsidR="00B66D4D" w:rsidRDefault="00B423E5" w:rsidP="00D977A9">
      <w:pPr>
        <w:jc w:val="both"/>
        <w:rPr>
          <w:sz w:val="22"/>
          <w:szCs w:val="22"/>
        </w:rPr>
      </w:pPr>
      <w:r>
        <w:rPr>
          <w:sz w:val="22"/>
          <w:szCs w:val="22"/>
        </w:rPr>
        <w:t xml:space="preserve">Il est proposé de s’appuyer sur ces études pour </w:t>
      </w:r>
      <w:r w:rsidRPr="00B423E5">
        <w:rPr>
          <w:sz w:val="22"/>
          <w:szCs w:val="22"/>
        </w:rPr>
        <w:t>établir un « schéma national des raccordements des IRVE »</w:t>
      </w:r>
      <w:r>
        <w:rPr>
          <w:sz w:val="22"/>
          <w:szCs w:val="22"/>
        </w:rPr>
        <w:t xml:space="preserve"> haute puissance (au-delà d’un seuil à définir de l’ordre de 2 MW), qui validé par le MTE permettra</w:t>
      </w:r>
      <w:r w:rsidR="001F7CA0">
        <w:rPr>
          <w:sz w:val="22"/>
          <w:szCs w:val="22"/>
        </w:rPr>
        <w:t xml:space="preserve"> </w:t>
      </w:r>
      <w:r w:rsidR="001F7CA0" w:rsidRPr="00103E84">
        <w:rPr>
          <w:b/>
          <w:sz w:val="22"/>
          <w:szCs w:val="22"/>
        </w:rPr>
        <w:t xml:space="preserve">un travail d’anticipation et de planification </w:t>
      </w:r>
      <w:r w:rsidR="001F7CA0" w:rsidRPr="00B423E5">
        <w:rPr>
          <w:b/>
          <w:sz w:val="22"/>
          <w:szCs w:val="22"/>
        </w:rPr>
        <w:t>des renforcements du réseau</w:t>
      </w:r>
      <w:r w:rsidR="001F7CA0">
        <w:rPr>
          <w:sz w:val="22"/>
          <w:szCs w:val="22"/>
        </w:rPr>
        <w:t xml:space="preserve"> </w:t>
      </w:r>
      <w:r w:rsidR="00DF460C">
        <w:rPr>
          <w:sz w:val="22"/>
          <w:szCs w:val="22"/>
        </w:rPr>
        <w:t>afin de</w:t>
      </w:r>
      <w:r w:rsidR="001F7CA0">
        <w:rPr>
          <w:sz w:val="22"/>
          <w:szCs w:val="22"/>
        </w:rPr>
        <w:t xml:space="preserve"> sortir d’une logique d’investissement par à</w:t>
      </w:r>
      <w:r w:rsidR="00DF460C">
        <w:rPr>
          <w:sz w:val="22"/>
          <w:szCs w:val="22"/>
        </w:rPr>
        <w:t>-</w:t>
      </w:r>
      <w:r w:rsidR="001F7CA0">
        <w:rPr>
          <w:sz w:val="22"/>
          <w:szCs w:val="22"/>
        </w:rPr>
        <w:t>coup successif</w:t>
      </w:r>
      <w:r w:rsidR="00DF460C">
        <w:rPr>
          <w:sz w:val="22"/>
          <w:szCs w:val="22"/>
        </w:rPr>
        <w:t>s</w:t>
      </w:r>
      <w:r w:rsidR="001F7CA0">
        <w:rPr>
          <w:sz w:val="22"/>
          <w:szCs w:val="22"/>
        </w:rPr>
        <w:t xml:space="preserve"> </w:t>
      </w:r>
      <w:r>
        <w:rPr>
          <w:sz w:val="22"/>
          <w:szCs w:val="22"/>
        </w:rPr>
        <w:t>en fonction des demandes de raccordement où</w:t>
      </w:r>
      <w:r w:rsidR="001F7CA0">
        <w:rPr>
          <w:sz w:val="22"/>
          <w:szCs w:val="22"/>
        </w:rPr>
        <w:t xml:space="preserve"> </w:t>
      </w:r>
      <w:r>
        <w:rPr>
          <w:sz w:val="22"/>
          <w:szCs w:val="22"/>
        </w:rPr>
        <w:t xml:space="preserve">l’on retrouve </w:t>
      </w:r>
      <w:r w:rsidR="001F7CA0">
        <w:rPr>
          <w:sz w:val="22"/>
          <w:szCs w:val="22"/>
        </w:rPr>
        <w:t xml:space="preserve">des propositions très variables en terme de coût (facteur 15) </w:t>
      </w:r>
      <w:r>
        <w:rPr>
          <w:sz w:val="22"/>
          <w:szCs w:val="22"/>
        </w:rPr>
        <w:t>ainsi qu’</w:t>
      </w:r>
      <w:r w:rsidR="001F7CA0">
        <w:rPr>
          <w:sz w:val="22"/>
          <w:szCs w:val="22"/>
        </w:rPr>
        <w:t>en terme de délai (</w:t>
      </w:r>
      <w:r w:rsidR="00DF460C">
        <w:rPr>
          <w:sz w:val="22"/>
          <w:szCs w:val="22"/>
        </w:rPr>
        <w:t xml:space="preserve">passage de </w:t>
      </w:r>
      <w:r w:rsidR="001F7CA0">
        <w:rPr>
          <w:sz w:val="22"/>
          <w:szCs w:val="22"/>
        </w:rPr>
        <w:t xml:space="preserve">4-6 mois à </w:t>
      </w:r>
      <w:r w:rsidR="00D119B0">
        <w:rPr>
          <w:sz w:val="22"/>
          <w:szCs w:val="22"/>
        </w:rPr>
        <w:t>12-24 mois</w:t>
      </w:r>
      <w:r w:rsidR="001F7CA0">
        <w:rPr>
          <w:sz w:val="22"/>
          <w:szCs w:val="22"/>
        </w:rPr>
        <w:t xml:space="preserve">) uniquement </w:t>
      </w:r>
      <w:r w:rsidR="00D119B0">
        <w:rPr>
          <w:sz w:val="22"/>
          <w:szCs w:val="22"/>
        </w:rPr>
        <w:t xml:space="preserve">en fonction de la « réserve de puissance » disponible </w:t>
      </w:r>
      <w:r w:rsidR="00DF460C">
        <w:rPr>
          <w:sz w:val="22"/>
          <w:szCs w:val="22"/>
        </w:rPr>
        <w:t>à proximité du</w:t>
      </w:r>
      <w:r w:rsidR="00D119B0">
        <w:rPr>
          <w:sz w:val="22"/>
          <w:szCs w:val="22"/>
        </w:rPr>
        <w:t xml:space="preserve"> site.</w:t>
      </w:r>
      <w:r w:rsidR="00E23B67">
        <w:rPr>
          <w:sz w:val="22"/>
          <w:szCs w:val="22"/>
        </w:rPr>
        <w:t xml:space="preserve"> </w:t>
      </w:r>
    </w:p>
    <w:p w:rsidR="009B5EEC" w:rsidRDefault="009B5EEC" w:rsidP="00D119B0">
      <w:pPr>
        <w:jc w:val="both"/>
        <w:rPr>
          <w:sz w:val="22"/>
          <w:szCs w:val="22"/>
        </w:rPr>
      </w:pPr>
    </w:p>
    <w:p w:rsidR="004B7107" w:rsidRDefault="009B5EEC" w:rsidP="0022023E">
      <w:pPr>
        <w:jc w:val="both"/>
        <w:rPr>
          <w:sz w:val="22"/>
          <w:szCs w:val="22"/>
        </w:rPr>
      </w:pPr>
      <w:r>
        <w:rPr>
          <w:sz w:val="22"/>
          <w:szCs w:val="22"/>
        </w:rPr>
        <w:t xml:space="preserve">En </w:t>
      </w:r>
      <w:r w:rsidR="0022023E">
        <w:rPr>
          <w:sz w:val="22"/>
          <w:szCs w:val="22"/>
        </w:rPr>
        <w:t>complément, cette anticipation portée collectivement permettra de m</w:t>
      </w:r>
      <w:r w:rsidR="0022023E" w:rsidRPr="0022023E">
        <w:rPr>
          <w:sz w:val="22"/>
          <w:szCs w:val="22"/>
        </w:rPr>
        <w:t xml:space="preserve">ieux répartir les coûts du renforcement en les mutualisant </w:t>
      </w:r>
      <w:r w:rsidR="0022023E">
        <w:rPr>
          <w:sz w:val="22"/>
          <w:szCs w:val="22"/>
        </w:rPr>
        <w:t>(</w:t>
      </w:r>
      <w:r w:rsidR="00796A75">
        <w:rPr>
          <w:sz w:val="22"/>
          <w:szCs w:val="22"/>
        </w:rPr>
        <w:t xml:space="preserve">par exemple </w:t>
      </w:r>
      <w:r w:rsidR="0022023E" w:rsidRPr="0022023E">
        <w:rPr>
          <w:sz w:val="22"/>
          <w:szCs w:val="22"/>
        </w:rPr>
        <w:t>sur le principe des S3REnR</w:t>
      </w:r>
      <w:r w:rsidR="0022023E">
        <w:rPr>
          <w:sz w:val="22"/>
          <w:szCs w:val="22"/>
        </w:rPr>
        <w:t>) entre les différents demandeurs. Cela permet également de se soustraire à la nécessité que ce soit les porteurs de projet qui individuellement devrait anticiper à plus de 2 ans leur demande de raccordement.</w:t>
      </w:r>
    </w:p>
    <w:p w:rsidR="00B6404F" w:rsidRDefault="00B6404F" w:rsidP="00D119B0">
      <w:pPr>
        <w:jc w:val="both"/>
        <w:rPr>
          <w:sz w:val="22"/>
          <w:szCs w:val="22"/>
        </w:rPr>
      </w:pPr>
    </w:p>
    <w:p w:rsidR="007943F6" w:rsidRDefault="007943F6" w:rsidP="00D119B0">
      <w:pPr>
        <w:jc w:val="both"/>
        <w:rPr>
          <w:sz w:val="22"/>
          <w:szCs w:val="22"/>
        </w:rPr>
      </w:pPr>
    </w:p>
    <w:p w:rsidR="009672C4" w:rsidRDefault="009672C4">
      <w:pPr>
        <w:suppressAutoHyphens w:val="0"/>
        <w:rPr>
          <w:b/>
          <w:sz w:val="22"/>
          <w:szCs w:val="22"/>
          <w:lang w:eastAsia="fr-FR"/>
        </w:rPr>
      </w:pPr>
      <w:r>
        <w:rPr>
          <w:b/>
          <w:sz w:val="22"/>
          <w:szCs w:val="22"/>
        </w:rPr>
        <w:br w:type="page"/>
      </w:r>
    </w:p>
    <w:p w:rsidR="00B6404F" w:rsidRPr="00B25F32" w:rsidRDefault="00B6404F" w:rsidP="00B6404F">
      <w:pPr>
        <w:pStyle w:val="NormalWeb"/>
        <w:numPr>
          <w:ilvl w:val="0"/>
          <w:numId w:val="18"/>
        </w:numPr>
        <w:spacing w:before="0" w:beforeAutospacing="0" w:after="0" w:line="240" w:lineRule="auto"/>
        <w:jc w:val="both"/>
        <w:rPr>
          <w:b/>
          <w:sz w:val="22"/>
          <w:szCs w:val="22"/>
        </w:rPr>
      </w:pPr>
      <w:r>
        <w:rPr>
          <w:b/>
          <w:sz w:val="22"/>
          <w:szCs w:val="22"/>
        </w:rPr>
        <w:lastRenderedPageBreak/>
        <w:t>Soutien au raccordement au réseau électrique</w:t>
      </w:r>
    </w:p>
    <w:p w:rsidR="00B6404F" w:rsidRDefault="00B6404F" w:rsidP="00B6404F">
      <w:pPr>
        <w:jc w:val="both"/>
        <w:rPr>
          <w:sz w:val="22"/>
          <w:szCs w:val="22"/>
        </w:rPr>
      </w:pPr>
    </w:p>
    <w:p w:rsidR="00B6404F" w:rsidRDefault="00B6404F" w:rsidP="00B6404F">
      <w:pPr>
        <w:pBdr>
          <w:top w:val="single" w:sz="4" w:space="1" w:color="auto"/>
          <w:left w:val="single" w:sz="4" w:space="4" w:color="auto"/>
          <w:bottom w:val="single" w:sz="4" w:space="1" w:color="auto"/>
          <w:right w:val="single" w:sz="4" w:space="4" w:color="auto"/>
        </w:pBdr>
        <w:jc w:val="both"/>
        <w:rPr>
          <w:sz w:val="22"/>
          <w:szCs w:val="22"/>
        </w:rPr>
      </w:pPr>
      <w:r>
        <w:rPr>
          <w:b/>
          <w:sz w:val="22"/>
          <w:szCs w:val="22"/>
        </w:rPr>
        <w:t>Des mesures législatives et réglementaires sont à prendre pour réduire les coûts résiduels des raccordements au réseau public de distribution</w:t>
      </w:r>
      <w:r w:rsidRPr="00B6404F">
        <w:rPr>
          <w:sz w:val="22"/>
          <w:szCs w:val="22"/>
        </w:rPr>
        <w:t>.</w:t>
      </w:r>
    </w:p>
    <w:p w:rsidR="00B6404F" w:rsidRDefault="00B6404F" w:rsidP="00B6404F">
      <w:pPr>
        <w:jc w:val="both"/>
        <w:rPr>
          <w:sz w:val="22"/>
          <w:szCs w:val="22"/>
        </w:rPr>
      </w:pPr>
    </w:p>
    <w:p w:rsidR="00D119B0" w:rsidRDefault="002A158C" w:rsidP="00D119B0">
      <w:pPr>
        <w:jc w:val="both"/>
        <w:rPr>
          <w:sz w:val="22"/>
          <w:szCs w:val="22"/>
        </w:rPr>
      </w:pPr>
      <w:r>
        <w:rPr>
          <w:sz w:val="22"/>
          <w:szCs w:val="22"/>
        </w:rPr>
        <w:t>En complément des renforcements structurels du réseau et p</w:t>
      </w:r>
      <w:r w:rsidR="00D119B0">
        <w:rPr>
          <w:sz w:val="22"/>
          <w:szCs w:val="22"/>
        </w:rPr>
        <w:t>our répondre à l’e</w:t>
      </w:r>
      <w:r w:rsidR="00D119B0" w:rsidRPr="006B0789">
        <w:rPr>
          <w:sz w:val="22"/>
          <w:szCs w:val="22"/>
        </w:rPr>
        <w:t>njeu financier significatif sur les raccordements</w:t>
      </w:r>
      <w:r w:rsidR="00D119B0">
        <w:rPr>
          <w:sz w:val="22"/>
          <w:szCs w:val="22"/>
        </w:rPr>
        <w:t xml:space="preserve">, </w:t>
      </w:r>
      <w:r w:rsidR="00D119B0" w:rsidRPr="0028425C">
        <w:rPr>
          <w:b/>
          <w:sz w:val="22"/>
          <w:szCs w:val="22"/>
        </w:rPr>
        <w:t xml:space="preserve">une réflexion de financement </w:t>
      </w:r>
      <w:r>
        <w:rPr>
          <w:b/>
          <w:sz w:val="22"/>
          <w:szCs w:val="22"/>
        </w:rPr>
        <w:t xml:space="preserve">complémentaire </w:t>
      </w:r>
      <w:r w:rsidR="00D119B0" w:rsidRPr="0028425C">
        <w:rPr>
          <w:b/>
          <w:sz w:val="22"/>
          <w:szCs w:val="22"/>
        </w:rPr>
        <w:t>est à rechercher parmi plusieurs pistes</w:t>
      </w:r>
      <w:r w:rsidR="00D119B0">
        <w:rPr>
          <w:sz w:val="22"/>
          <w:szCs w:val="22"/>
        </w:rPr>
        <w:t>, éventuellement cumulatives :</w:t>
      </w:r>
    </w:p>
    <w:p w:rsidR="00D119B0" w:rsidRDefault="00D119B0" w:rsidP="006A66E5">
      <w:pPr>
        <w:pStyle w:val="Paragraphedeliste"/>
        <w:numPr>
          <w:ilvl w:val="0"/>
          <w:numId w:val="28"/>
        </w:numPr>
        <w:suppressAutoHyphens w:val="0"/>
        <w:spacing w:line="240" w:lineRule="auto"/>
        <w:rPr>
          <w:rFonts w:cs="Times New Roman"/>
          <w:sz w:val="22"/>
          <w:szCs w:val="22"/>
        </w:rPr>
      </w:pPr>
      <w:r>
        <w:rPr>
          <w:rFonts w:cs="Times New Roman"/>
          <w:sz w:val="22"/>
          <w:szCs w:val="22"/>
        </w:rPr>
        <w:t>Une intégration systématique des coûts de raccordement dans les dépenses éligibles aux dispositifs de subvention par une évolution du cahier des charges de l’appel à projet de France2030 pour intégrer les raccordements dans les dépenses éligibles de la cible « métropole », qui correspond à une priorité d’implantation d’IRVE en prévision des mises en place des ZFE (les métropoles restent sous équipées en IRVE par rapport au national sur le critère puissance disponible / nb VE en circulation) ;</w:t>
      </w:r>
    </w:p>
    <w:p w:rsidR="00D119B0" w:rsidRDefault="00D119B0" w:rsidP="006A66E5">
      <w:pPr>
        <w:pStyle w:val="Paragraphedeliste"/>
        <w:numPr>
          <w:ilvl w:val="0"/>
          <w:numId w:val="28"/>
        </w:numPr>
        <w:suppressAutoHyphens w:val="0"/>
        <w:spacing w:line="240" w:lineRule="auto"/>
        <w:rPr>
          <w:rFonts w:cs="Times New Roman"/>
          <w:sz w:val="22"/>
          <w:szCs w:val="22"/>
        </w:rPr>
      </w:pPr>
      <w:r>
        <w:rPr>
          <w:rFonts w:cs="Times New Roman"/>
          <w:sz w:val="22"/>
          <w:szCs w:val="22"/>
        </w:rPr>
        <w:t xml:space="preserve">Une prise en charge par </w:t>
      </w:r>
      <w:r w:rsidR="00401E44">
        <w:rPr>
          <w:rFonts w:cs="Times New Roman"/>
          <w:sz w:val="22"/>
          <w:szCs w:val="22"/>
        </w:rPr>
        <w:t>le</w:t>
      </w:r>
      <w:r>
        <w:rPr>
          <w:rFonts w:cs="Times New Roman"/>
          <w:sz w:val="22"/>
          <w:szCs w:val="22"/>
        </w:rPr>
        <w:t xml:space="preserve"> TURPE des coûts spécifiques de renforcement du réseau de distribution (dissociés des coûts de raccordement</w:t>
      </w:r>
      <w:r w:rsidR="00970FEA">
        <w:rPr>
          <w:rFonts w:cs="Times New Roman"/>
          <w:sz w:val="22"/>
          <w:szCs w:val="22"/>
        </w:rPr>
        <w:t xml:space="preserve"> qui resteraient à la charge du demandeur</w:t>
      </w:r>
      <w:r>
        <w:rPr>
          <w:rFonts w:cs="Times New Roman"/>
          <w:sz w:val="22"/>
          <w:szCs w:val="22"/>
        </w:rPr>
        <w:t>), pour éviter des effets de seuils ;</w:t>
      </w:r>
    </w:p>
    <w:p w:rsidR="00D119B0" w:rsidRPr="00970FEA" w:rsidRDefault="00D119B0" w:rsidP="006A66E5">
      <w:pPr>
        <w:pStyle w:val="Paragraphedeliste"/>
        <w:numPr>
          <w:ilvl w:val="0"/>
          <w:numId w:val="28"/>
        </w:numPr>
        <w:suppressAutoHyphens w:val="0"/>
        <w:spacing w:line="240" w:lineRule="auto"/>
        <w:rPr>
          <w:rFonts w:cs="Times New Roman"/>
          <w:sz w:val="22"/>
          <w:szCs w:val="22"/>
        </w:rPr>
      </w:pPr>
      <w:r>
        <w:rPr>
          <w:rFonts w:cs="Times New Roman"/>
          <w:sz w:val="22"/>
          <w:szCs w:val="22"/>
        </w:rPr>
        <w:t xml:space="preserve">Mutualisation et répartition des coûts de raccordement afin d’éviter les disparités géographiques dès lors que l’on se trouve sur le </w:t>
      </w:r>
      <w:r w:rsidRPr="00C21A38">
        <w:rPr>
          <w:sz w:val="22"/>
          <w:szCs w:val="22"/>
        </w:rPr>
        <w:t xml:space="preserve">RTE-T </w:t>
      </w:r>
      <w:r>
        <w:rPr>
          <w:sz w:val="22"/>
          <w:szCs w:val="22"/>
        </w:rPr>
        <w:t>national</w:t>
      </w:r>
      <w:r w:rsidR="00B837C5">
        <w:rPr>
          <w:sz w:val="22"/>
          <w:szCs w:val="22"/>
        </w:rPr>
        <w:t> ;</w:t>
      </w:r>
    </w:p>
    <w:p w:rsidR="00970FEA" w:rsidRPr="00D3419A" w:rsidRDefault="00970FEA" w:rsidP="00D06389">
      <w:pPr>
        <w:pStyle w:val="Paragraphedeliste"/>
        <w:numPr>
          <w:ilvl w:val="0"/>
          <w:numId w:val="28"/>
        </w:numPr>
        <w:suppressAutoHyphens w:val="0"/>
        <w:spacing w:line="240" w:lineRule="auto"/>
        <w:rPr>
          <w:sz w:val="22"/>
          <w:szCs w:val="22"/>
        </w:rPr>
      </w:pPr>
      <w:r w:rsidRPr="00B6404F">
        <w:rPr>
          <w:sz w:val="22"/>
          <w:szCs w:val="22"/>
        </w:rPr>
        <w:t>Une extension aux aires de repos de la prise</w:t>
      </w:r>
      <w:r w:rsidRPr="00B6404F">
        <w:rPr>
          <w:rFonts w:cs="Times New Roman"/>
          <w:sz w:val="22"/>
          <w:szCs w:val="22"/>
        </w:rPr>
        <w:t xml:space="preserve"> en charge majorée par le TURPE de 75% des coûts de raccordement (actuellement limité aux aires de services des voies express et des autoroutes jusque 2025 dans la limite de 5 MW, les demandes d’augmentation de puissance ne sont pas éligibles). Cette mesure implique une mod</w:t>
      </w:r>
      <w:r w:rsidR="00401E44" w:rsidRPr="00B6404F">
        <w:rPr>
          <w:rFonts w:cs="Times New Roman"/>
          <w:sz w:val="22"/>
          <w:szCs w:val="22"/>
        </w:rPr>
        <w:t>ification de l’art 64 de la LOM.</w:t>
      </w:r>
    </w:p>
    <w:p w:rsidR="00D3419A" w:rsidRDefault="00D3419A" w:rsidP="00D3419A">
      <w:pPr>
        <w:suppressAutoHyphens w:val="0"/>
        <w:rPr>
          <w:sz w:val="22"/>
          <w:szCs w:val="22"/>
        </w:rPr>
      </w:pPr>
    </w:p>
    <w:p w:rsidR="00D3419A" w:rsidRDefault="00D3419A">
      <w:pPr>
        <w:suppressAutoHyphens w:val="0"/>
        <w:rPr>
          <w:sz w:val="22"/>
          <w:szCs w:val="22"/>
        </w:rPr>
      </w:pPr>
      <w:r>
        <w:rPr>
          <w:sz w:val="22"/>
          <w:szCs w:val="22"/>
        </w:rPr>
        <w:br w:type="page"/>
      </w:r>
    </w:p>
    <w:p w:rsidR="00D3419A" w:rsidRPr="00D977A9" w:rsidRDefault="00D3419A" w:rsidP="00D3419A">
      <w:pPr>
        <w:suppressAutoHyphens w:val="0"/>
        <w:jc w:val="center"/>
        <w:rPr>
          <w:sz w:val="28"/>
          <w:szCs w:val="28"/>
        </w:rPr>
      </w:pPr>
      <w:r w:rsidRPr="00D977A9">
        <w:rPr>
          <w:sz w:val="28"/>
          <w:szCs w:val="28"/>
        </w:rPr>
        <w:lastRenderedPageBreak/>
        <w:t>Annexe</w:t>
      </w:r>
    </w:p>
    <w:p w:rsidR="00D3419A" w:rsidRDefault="00D3419A" w:rsidP="00D3419A">
      <w:pPr>
        <w:suppressAutoHyphens w:val="0"/>
        <w:rPr>
          <w:sz w:val="22"/>
          <w:szCs w:val="22"/>
        </w:rPr>
      </w:pPr>
    </w:p>
    <w:p w:rsidR="00D3419A" w:rsidRPr="00D977A9" w:rsidRDefault="00D977A9" w:rsidP="00D3419A">
      <w:pPr>
        <w:jc w:val="both"/>
        <w:rPr>
          <w:b/>
          <w:sz w:val="22"/>
          <w:szCs w:val="22"/>
          <w:u w:val="single"/>
        </w:rPr>
      </w:pPr>
      <w:r w:rsidRPr="00D977A9">
        <w:rPr>
          <w:b/>
          <w:sz w:val="22"/>
          <w:szCs w:val="22"/>
          <w:u w:val="single"/>
        </w:rPr>
        <w:t>Retour d’expérience PNRR :</w:t>
      </w:r>
    </w:p>
    <w:p w:rsidR="00D977A9" w:rsidRDefault="00D977A9" w:rsidP="00D977A9">
      <w:pPr>
        <w:jc w:val="both"/>
        <w:rPr>
          <w:sz w:val="22"/>
          <w:szCs w:val="22"/>
        </w:rPr>
      </w:pPr>
      <w:r>
        <w:rPr>
          <w:sz w:val="22"/>
          <w:szCs w:val="22"/>
        </w:rPr>
        <w:t>Les déploiements réalisés des stations de recharge haute puissance dans le cadre du Plan de Relance, bien que de puissance conséquente (de 1 à 3 MW) sont réalisés sur « la réserve de puissance » disponible du réseau n’impliquant pas des coûts importants (dès que les devis sont importants, l’ambition des projets est généralement revue à la baisse en puissance et donc en nombre de bornes, pour se caler sur des coûts plus faibles). On note que le coût moyen des raccordements du dispositif du plan de relance pour équiper les aires de service du RRN est assez limité et à moins de 30 k€ alors que les futures demandes nécessiteront des renforcements beaucoup plus onéreux puisque les besoins de puissance seront de l’ordre de 10 MW par aire en moyenne.</w:t>
      </w:r>
    </w:p>
    <w:p w:rsidR="00D977A9" w:rsidRDefault="00D977A9" w:rsidP="00D977A9">
      <w:pPr>
        <w:jc w:val="both"/>
        <w:rPr>
          <w:sz w:val="22"/>
          <w:szCs w:val="22"/>
        </w:rPr>
      </w:pPr>
    </w:p>
    <w:p w:rsidR="00D977A9" w:rsidRDefault="00D977A9" w:rsidP="00D977A9">
      <w:pPr>
        <w:jc w:val="both"/>
        <w:rPr>
          <w:sz w:val="22"/>
          <w:szCs w:val="22"/>
        </w:rPr>
      </w:pPr>
      <w:r>
        <w:rPr>
          <w:sz w:val="22"/>
          <w:szCs w:val="22"/>
        </w:rPr>
        <w:t>En 2 ans, près de 2 500 points de recharge sont accompagnés par le Plan de Relance mobilisant 235 M€ d’investissement dont environ 7 M€ sur les raccordements. L’étude conjointe ENEDIS RTE de 2021 estime entre 300 et 600 M€ les investissements sur les raccordements nécessaires jusque 2035, hors mobilité lourde.</w:t>
      </w:r>
    </w:p>
    <w:p w:rsidR="00D977A9" w:rsidRDefault="00D977A9" w:rsidP="00D3419A">
      <w:pPr>
        <w:jc w:val="both"/>
        <w:rPr>
          <w:sz w:val="22"/>
          <w:szCs w:val="22"/>
        </w:rPr>
      </w:pPr>
    </w:p>
    <w:p w:rsidR="00D977A9" w:rsidRDefault="00D977A9" w:rsidP="00D3419A">
      <w:pPr>
        <w:jc w:val="both"/>
        <w:rPr>
          <w:sz w:val="22"/>
          <w:szCs w:val="22"/>
        </w:rPr>
      </w:pPr>
    </w:p>
    <w:p w:rsidR="00D977A9" w:rsidRDefault="00D977A9" w:rsidP="00D3419A">
      <w:pPr>
        <w:jc w:val="both"/>
        <w:rPr>
          <w:sz w:val="22"/>
          <w:szCs w:val="22"/>
        </w:rPr>
      </w:pPr>
    </w:p>
    <w:p w:rsidR="00D3419A" w:rsidRPr="00D977A9" w:rsidRDefault="00D3419A" w:rsidP="00D3419A">
      <w:pPr>
        <w:jc w:val="both"/>
        <w:rPr>
          <w:b/>
          <w:sz w:val="22"/>
          <w:szCs w:val="22"/>
          <w:u w:val="single"/>
        </w:rPr>
      </w:pPr>
      <w:r w:rsidRPr="00D977A9">
        <w:rPr>
          <w:b/>
          <w:sz w:val="22"/>
          <w:szCs w:val="22"/>
          <w:u w:val="single"/>
        </w:rPr>
        <w:t>« Les besoins électriques de la mobilité longue distance sur autoroute » ENEDIS RTE juillet 2021 :</w:t>
      </w:r>
    </w:p>
    <w:p w:rsidR="00D3419A" w:rsidRDefault="00D3419A" w:rsidP="00D3419A">
      <w:pPr>
        <w:suppressAutoHyphens w:val="0"/>
        <w:ind w:left="426" w:right="425"/>
        <w:jc w:val="both"/>
        <w:rPr>
          <w:i/>
          <w:sz w:val="22"/>
          <w:szCs w:val="22"/>
          <w:lang w:eastAsia="fr-FR"/>
        </w:rPr>
      </w:pPr>
      <w:r w:rsidRPr="007F2D2C">
        <w:rPr>
          <w:i/>
          <w:sz w:val="22"/>
          <w:szCs w:val="22"/>
          <w:lang w:eastAsia="fr-FR"/>
        </w:rPr>
        <w:t>« Les réseaux s’adapteront aux besoins</w:t>
      </w:r>
      <w:r>
        <w:rPr>
          <w:i/>
          <w:sz w:val="22"/>
          <w:szCs w:val="22"/>
          <w:lang w:eastAsia="fr-FR"/>
        </w:rPr>
        <w:t xml:space="preserve"> </w:t>
      </w:r>
      <w:r w:rsidRPr="007F2D2C">
        <w:rPr>
          <w:i/>
          <w:sz w:val="22"/>
          <w:szCs w:val="22"/>
          <w:lang w:eastAsia="fr-FR"/>
        </w:rPr>
        <w:t>de recharge sur autoroute, sans impact notable</w:t>
      </w:r>
      <w:r>
        <w:rPr>
          <w:i/>
          <w:sz w:val="22"/>
          <w:szCs w:val="22"/>
          <w:lang w:eastAsia="fr-FR"/>
        </w:rPr>
        <w:t xml:space="preserve"> </w:t>
      </w:r>
      <w:r w:rsidRPr="007F2D2C">
        <w:rPr>
          <w:i/>
          <w:sz w:val="22"/>
          <w:szCs w:val="22"/>
          <w:lang w:eastAsia="fr-FR"/>
        </w:rPr>
        <w:t>sur les trajectoires financières</w:t>
      </w:r>
      <w:r>
        <w:rPr>
          <w:i/>
          <w:sz w:val="22"/>
          <w:szCs w:val="22"/>
          <w:lang w:eastAsia="fr-FR"/>
        </w:rPr>
        <w:t> :</w:t>
      </w:r>
    </w:p>
    <w:p w:rsidR="00D3419A" w:rsidRPr="007F2D2C" w:rsidRDefault="00D3419A" w:rsidP="00D3419A">
      <w:pPr>
        <w:suppressAutoHyphens w:val="0"/>
        <w:ind w:left="426" w:right="425"/>
        <w:jc w:val="both"/>
        <w:rPr>
          <w:i/>
          <w:sz w:val="22"/>
          <w:szCs w:val="22"/>
          <w:lang w:eastAsia="fr-FR"/>
        </w:rPr>
      </w:pPr>
      <w:r w:rsidRPr="007F2D2C">
        <w:rPr>
          <w:i/>
          <w:sz w:val="22"/>
          <w:szCs w:val="22"/>
          <w:lang w:eastAsia="fr-FR"/>
        </w:rPr>
        <w:t xml:space="preserve">Les extensions et adaptations des réseaux ne présentent pas de défis techniques particuliers ni d’enjeux financiers importants, leurs coûts étant pris en compte dans les trajectoires d’investissements des gestionnaires de réseau. Les coûts de développement des réseaux de transport et de distribution pour l’alimentation des stations de recharge sur autoroute </w:t>
      </w:r>
      <w:r w:rsidRPr="007F2D2C">
        <w:rPr>
          <w:b/>
          <w:i/>
          <w:sz w:val="22"/>
          <w:szCs w:val="22"/>
          <w:lang w:eastAsia="fr-FR"/>
        </w:rPr>
        <w:t>sont estimés entre 300 M€ (configuration de référence) et 600 M€ (variante haute) d’ici 2035</w:t>
      </w:r>
      <w:r w:rsidRPr="007F2D2C">
        <w:rPr>
          <w:i/>
          <w:sz w:val="22"/>
          <w:szCs w:val="22"/>
          <w:lang w:eastAsia="fr-FR"/>
        </w:rPr>
        <w:t xml:space="preserve"> (soit entre 20 et 40 M€/an), ce qui représente entre 0,3 et 0,6 % investissements planifiés par les GRD / GRT sur la période.</w:t>
      </w:r>
    </w:p>
    <w:p w:rsidR="00D3419A" w:rsidRPr="007F2D2C" w:rsidRDefault="00D3419A" w:rsidP="00D3419A">
      <w:pPr>
        <w:suppressAutoHyphens w:val="0"/>
        <w:ind w:left="426" w:right="425"/>
        <w:jc w:val="both"/>
        <w:rPr>
          <w:i/>
          <w:sz w:val="22"/>
          <w:szCs w:val="22"/>
          <w:lang w:eastAsia="fr-FR"/>
        </w:rPr>
      </w:pPr>
      <w:r w:rsidRPr="007F2D2C">
        <w:rPr>
          <w:i/>
          <w:sz w:val="22"/>
          <w:szCs w:val="22"/>
          <w:lang w:eastAsia="fr-FR"/>
        </w:rPr>
        <w:t xml:space="preserve">80 % des coûts correspondent à des investissements sur le réseau de distribution. Ils concernent essentiellement la création de nouvelles liaisons HTA entre des postes sources existants et les aires d’autoroutes et, pour certaines aires, le renforcement de postes sources (mutation de transformateur). Une partie importante de ces coûts ne dépend pas de la puissance raccordée. Néanmoins, dans la configuration haute étudiée, où les besoins de puissance à raccorder sont nettement plus élevés, le seul développement de nouvelles liaisons HTA à partir des postes sources existants n’est plus compatible avec un maintien d’un niveau de tension sur le réseau satisfaisant et </w:t>
      </w:r>
      <w:r w:rsidRPr="00B6404F">
        <w:rPr>
          <w:b/>
          <w:i/>
          <w:sz w:val="22"/>
          <w:szCs w:val="22"/>
          <w:lang w:eastAsia="fr-FR"/>
        </w:rPr>
        <w:t>la création d’une vingtaine de nouveaux postes sources sera nécessaire</w:t>
      </w:r>
      <w:r w:rsidRPr="007F2D2C">
        <w:rPr>
          <w:i/>
          <w:sz w:val="22"/>
          <w:szCs w:val="22"/>
          <w:lang w:eastAsia="fr-FR"/>
        </w:rPr>
        <w:t>.</w:t>
      </w:r>
    </w:p>
    <w:p w:rsidR="00D3419A" w:rsidRPr="007F2D2C" w:rsidRDefault="00D3419A" w:rsidP="00D3419A">
      <w:pPr>
        <w:suppressAutoHyphens w:val="0"/>
        <w:ind w:left="426" w:right="425"/>
        <w:jc w:val="both"/>
        <w:rPr>
          <w:i/>
          <w:sz w:val="22"/>
          <w:szCs w:val="22"/>
          <w:lang w:eastAsia="fr-FR"/>
        </w:rPr>
      </w:pPr>
      <w:r w:rsidRPr="007F2D2C">
        <w:rPr>
          <w:i/>
          <w:sz w:val="22"/>
          <w:szCs w:val="22"/>
          <w:lang w:eastAsia="fr-FR"/>
        </w:rPr>
        <w:t>Les coûts pour le réseau de transport représenteront entre 60 et 90 M€ sur 15 ans (soit 4 à 6 M€/an) selon la configuration étudiée et correspondent à des renforcements ponctuels sur le réseau 63</w:t>
      </w:r>
      <w:r w:rsidR="00D977A9">
        <w:rPr>
          <w:i/>
          <w:sz w:val="22"/>
          <w:szCs w:val="22"/>
          <w:lang w:eastAsia="fr-FR"/>
        </w:rPr>
        <w:t> </w:t>
      </w:r>
      <w:r w:rsidRPr="007F2D2C">
        <w:rPr>
          <w:i/>
          <w:sz w:val="22"/>
          <w:szCs w:val="22"/>
          <w:lang w:eastAsia="fr-FR"/>
        </w:rPr>
        <w:t>kV/90</w:t>
      </w:r>
      <w:r>
        <w:rPr>
          <w:i/>
          <w:sz w:val="22"/>
          <w:szCs w:val="22"/>
          <w:lang w:eastAsia="fr-FR"/>
        </w:rPr>
        <w:t> </w:t>
      </w:r>
      <w:r w:rsidRPr="007F2D2C">
        <w:rPr>
          <w:i/>
          <w:sz w:val="22"/>
          <w:szCs w:val="22"/>
          <w:lang w:eastAsia="fr-FR"/>
        </w:rPr>
        <w:t>kV.</w:t>
      </w:r>
    </w:p>
    <w:p w:rsidR="00D3419A" w:rsidRPr="007F2D2C" w:rsidRDefault="00D3419A" w:rsidP="00D3419A">
      <w:pPr>
        <w:suppressAutoHyphens w:val="0"/>
        <w:ind w:left="426" w:right="425"/>
        <w:jc w:val="both"/>
        <w:rPr>
          <w:i/>
          <w:sz w:val="22"/>
          <w:szCs w:val="22"/>
          <w:lang w:eastAsia="fr-FR"/>
        </w:rPr>
      </w:pPr>
      <w:r w:rsidRPr="007F2D2C">
        <w:rPr>
          <w:i/>
          <w:sz w:val="22"/>
          <w:szCs w:val="22"/>
          <w:lang w:eastAsia="fr-FR"/>
        </w:rPr>
        <w:t>Ces coûts sont à comparer aux niveaux d’investissements actuels dans les réseaux électriques, soit 1,5</w:t>
      </w:r>
      <w:r w:rsidR="00D977A9">
        <w:rPr>
          <w:i/>
          <w:sz w:val="22"/>
          <w:szCs w:val="22"/>
          <w:lang w:eastAsia="fr-FR"/>
        </w:rPr>
        <w:t> </w:t>
      </w:r>
      <w:r w:rsidRPr="007F2D2C">
        <w:rPr>
          <w:i/>
          <w:sz w:val="22"/>
          <w:szCs w:val="22"/>
          <w:lang w:eastAsia="fr-FR"/>
        </w:rPr>
        <w:t>Md€ pour le réseau de transport et 4 Md€ pour le réseau de distribution en 2019 et des investissements futurs prévus par les gestionnaires de réseau (les investissements prévus sur le réseau public de transports se montent à plus de 2 Mds€ par an en moyenne sur la période 2020-2035).</w:t>
      </w:r>
    </w:p>
    <w:p w:rsidR="00D3419A" w:rsidRPr="007F2D2C" w:rsidRDefault="00D3419A" w:rsidP="00D3419A">
      <w:pPr>
        <w:suppressAutoHyphens w:val="0"/>
        <w:ind w:left="426" w:right="425"/>
        <w:jc w:val="both"/>
        <w:rPr>
          <w:i/>
          <w:sz w:val="22"/>
          <w:szCs w:val="22"/>
          <w:lang w:eastAsia="fr-FR"/>
        </w:rPr>
      </w:pPr>
    </w:p>
    <w:p w:rsidR="00D3419A" w:rsidRDefault="00D3419A" w:rsidP="00D3419A">
      <w:pPr>
        <w:suppressAutoHyphens w:val="0"/>
        <w:ind w:left="426" w:right="425"/>
        <w:jc w:val="both"/>
        <w:rPr>
          <w:i/>
          <w:sz w:val="22"/>
          <w:szCs w:val="22"/>
          <w:lang w:eastAsia="fr-FR"/>
        </w:rPr>
      </w:pPr>
      <w:r w:rsidRPr="007F2D2C">
        <w:rPr>
          <w:i/>
          <w:sz w:val="22"/>
          <w:szCs w:val="22"/>
          <w:lang w:eastAsia="fr-FR"/>
        </w:rPr>
        <w:t>L’anticipation par les porteurs de projets est un facteur déterminant du développement des équipements de l’ensemble des aires de service</w:t>
      </w:r>
      <w:r>
        <w:rPr>
          <w:i/>
          <w:sz w:val="22"/>
          <w:szCs w:val="22"/>
          <w:lang w:eastAsia="fr-FR"/>
        </w:rPr>
        <w:t> :</w:t>
      </w:r>
    </w:p>
    <w:p w:rsidR="00D3419A" w:rsidRPr="007F2D2C" w:rsidRDefault="00D3419A" w:rsidP="00D3419A">
      <w:pPr>
        <w:suppressAutoHyphens w:val="0"/>
        <w:ind w:left="426" w:right="425"/>
        <w:jc w:val="both"/>
        <w:rPr>
          <w:i/>
          <w:sz w:val="22"/>
          <w:szCs w:val="22"/>
          <w:lang w:eastAsia="fr-FR"/>
        </w:rPr>
      </w:pPr>
      <w:r w:rsidRPr="007F2D2C">
        <w:rPr>
          <w:i/>
          <w:sz w:val="22"/>
          <w:szCs w:val="22"/>
          <w:lang w:eastAsia="fr-FR"/>
        </w:rPr>
        <w:t xml:space="preserve">D’un point de vue technique, les extensions et adaptation des réseaux nécessaires pour raccorder ces stations de recharge ne posent pas de difficultés techniques particulières. Néanmoins, selon le niveau de puissance et la configuration technique d’alimentation de chaque aire, </w:t>
      </w:r>
      <w:r w:rsidRPr="007F2D2C">
        <w:rPr>
          <w:b/>
          <w:i/>
          <w:sz w:val="22"/>
          <w:szCs w:val="22"/>
          <w:lang w:eastAsia="fr-FR"/>
        </w:rPr>
        <w:t>les délais pouvant aller de douze à vingt-quatre mois sont nécessaires pour la réalisation des études, l’obtention des autorisations administratives et la réalisation des travaux</w:t>
      </w:r>
      <w:r w:rsidRPr="007F2D2C">
        <w:rPr>
          <w:i/>
          <w:sz w:val="22"/>
          <w:szCs w:val="22"/>
          <w:lang w:eastAsia="fr-FR"/>
        </w:rPr>
        <w:t>. Les demandes de raccordement doivent être anticipées par les porteurs de projets, pour permettre une bonne adéquation entre le besoin des utilisateurs et le dimensionnement des infrastructures. »</w:t>
      </w:r>
    </w:p>
    <w:p w:rsidR="00D3419A" w:rsidRPr="00D3419A" w:rsidRDefault="00D3419A" w:rsidP="00D3419A">
      <w:pPr>
        <w:suppressAutoHyphens w:val="0"/>
        <w:rPr>
          <w:sz w:val="22"/>
          <w:szCs w:val="22"/>
        </w:rPr>
      </w:pPr>
    </w:p>
    <w:sectPr w:rsidR="00D3419A" w:rsidRPr="00D3419A" w:rsidSect="00B6404F">
      <w:headerReference w:type="even" r:id="rId8"/>
      <w:headerReference w:type="default" r:id="rId9"/>
      <w:footerReference w:type="even" r:id="rId10"/>
      <w:footerReference w:type="default" r:id="rId11"/>
      <w:headerReference w:type="first" r:id="rId12"/>
      <w:footerReference w:type="first" r:id="rId13"/>
      <w:pgSz w:w="11906" w:h="16838"/>
      <w:pgMar w:top="709" w:right="991" w:bottom="993"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841" w:rsidRDefault="00715841">
      <w:r>
        <w:separator/>
      </w:r>
    </w:p>
  </w:endnote>
  <w:endnote w:type="continuationSeparator" w:id="0">
    <w:p w:rsidR="00715841" w:rsidRDefault="00715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B7" w:rsidRDefault="004B78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C28" w:rsidRDefault="007F72EE">
    <w:pPr>
      <w:pStyle w:val="Pieddepage"/>
      <w:jc w:val="right"/>
    </w:pPr>
    <w:r>
      <w:fldChar w:fldCharType="begin"/>
    </w:r>
    <w:r w:rsidR="00EC7C28">
      <w:instrText xml:space="preserve"> PAGE </w:instrText>
    </w:r>
    <w:r>
      <w:fldChar w:fldCharType="separate"/>
    </w:r>
    <w:r w:rsidR="004B78B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B7" w:rsidRDefault="004B78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841" w:rsidRDefault="00715841">
      <w:r>
        <w:separator/>
      </w:r>
    </w:p>
  </w:footnote>
  <w:footnote w:type="continuationSeparator" w:id="0">
    <w:p w:rsidR="00715841" w:rsidRDefault="00715841">
      <w:r>
        <w:continuationSeparator/>
      </w:r>
    </w:p>
  </w:footnote>
  <w:footnote w:id="1">
    <w:p w:rsidR="00A40A36" w:rsidRDefault="00A40A36">
      <w:pPr>
        <w:pStyle w:val="Notedebasdepage"/>
      </w:pPr>
      <w:r>
        <w:rPr>
          <w:rStyle w:val="Appelnotedebasdep"/>
        </w:rPr>
        <w:footnoteRef/>
      </w:r>
      <w:r>
        <w:t xml:space="preserve"> </w:t>
      </w:r>
      <w:hyperlink r:id="rId1" w:history="1">
        <w:r w:rsidR="00D3419A" w:rsidRPr="00942D56">
          <w:rPr>
            <w:rStyle w:val="Lienhypertexte"/>
          </w:rPr>
          <w:t>www.enedis.fr/presse/transition-ecologique-enedis-devoile-les-travaux-preparatoires-son-futur-plan-de</w:t>
        </w:r>
      </w:hyperlink>
      <w:r w:rsidR="00D3419A">
        <w:t xml:space="preserve"> </w:t>
      </w:r>
    </w:p>
  </w:footnote>
  <w:footnote w:id="2">
    <w:p w:rsidR="00B423E5" w:rsidRDefault="00B423E5">
      <w:pPr>
        <w:pStyle w:val="Notedebasdepage"/>
      </w:pPr>
      <w:r>
        <w:rPr>
          <w:rStyle w:val="Appelnotedebasdep"/>
        </w:rPr>
        <w:footnoteRef/>
      </w:r>
      <w:r>
        <w:t xml:space="preserve"> R</w:t>
      </w:r>
      <w:r w:rsidRPr="00B423E5">
        <w:t xml:space="preserve">éseau transeuropéen de transports </w:t>
      </w:r>
      <w:r w:rsidRPr="00B423E5">
        <w:rPr>
          <w:i/>
        </w:rPr>
        <w:t>core network</w:t>
      </w:r>
      <w:r w:rsidRPr="00B423E5">
        <w:t xml:space="preserve"> et </w:t>
      </w:r>
      <w:r w:rsidRPr="00B423E5">
        <w:rPr>
          <w:i/>
        </w:rPr>
        <w:t>comprehensive network</w:t>
      </w:r>
      <w:r w:rsidRPr="00B423E5">
        <w:t xml:space="preserve"> en intégrant des sites à moins de 3 km d’une entrée sortie de ce réseau (critère dans les exigences contraignantes du projet AFIR).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B7" w:rsidRDefault="004B78B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147" w:rsidRDefault="00521147">
    <w:pPr>
      <w:pStyle w:val="En-tte"/>
      <w:rPr>
        <w:i/>
        <w:sz w:val="20"/>
      </w:rPr>
    </w:pPr>
    <w:r>
      <w:tab/>
    </w:r>
    <w:r>
      <w:tab/>
    </w:r>
    <w:r>
      <w:rPr>
        <w:i/>
        <w:sz w:val="20"/>
      </w:rPr>
      <w:t xml:space="preserve">Version du </w:t>
    </w:r>
    <w:r w:rsidR="004B78B7">
      <w:rPr>
        <w:i/>
        <w:sz w:val="20"/>
      </w:rPr>
      <w:t>27</w:t>
    </w:r>
    <w:bookmarkStart w:id="0" w:name="_GoBack"/>
    <w:bookmarkEnd w:id="0"/>
    <w:r>
      <w:rPr>
        <w:i/>
        <w:sz w:val="20"/>
      </w:rPr>
      <w:t>/0</w:t>
    </w:r>
    <w:r w:rsidR="004B7107">
      <w:rPr>
        <w:i/>
        <w:sz w:val="20"/>
      </w:rPr>
      <w:t>3</w:t>
    </w:r>
    <w:r>
      <w:rPr>
        <w:i/>
        <w:sz w:val="20"/>
      </w:rPr>
      <w:t>/202</w:t>
    </w:r>
    <w:r w:rsidR="00907ABB">
      <w:rPr>
        <w:i/>
        <w:sz w:val="20"/>
      </w:rPr>
      <w:t>3</w:t>
    </w:r>
  </w:p>
  <w:p w:rsidR="00AF7A1D" w:rsidRDefault="00AF7A1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8B7" w:rsidRDefault="004B78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color w:val="000000"/>
        <w:sz w:val="22"/>
        <w:szCs w:val="22"/>
        <w:lang w:eastAsia="fr-FR"/>
      </w:rPr>
    </w:lvl>
  </w:abstractNum>
  <w:abstractNum w:abstractNumId="1"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sz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6"/>
    <w:lvl w:ilvl="0">
      <w:start w:val="1"/>
      <w:numFmt w:val="decimal"/>
      <w:lvlText w:val="%1."/>
      <w:lvlJc w:val="left"/>
      <w:pPr>
        <w:tabs>
          <w:tab w:val="num" w:pos="0"/>
        </w:tabs>
        <w:ind w:left="360" w:hanging="360"/>
      </w:pPr>
      <w:rPr>
        <w:rFonts w:hint="default"/>
        <w:b/>
      </w:r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4"/>
    <w:multiLevelType w:val="singleLevel"/>
    <w:tmpl w:val="00000004"/>
    <w:name w:val="WW8Num7"/>
    <w:lvl w:ilvl="0">
      <w:start w:val="1"/>
      <w:numFmt w:val="decimal"/>
      <w:lvlText w:val="%1.1"/>
      <w:lvlJc w:val="left"/>
      <w:pPr>
        <w:tabs>
          <w:tab w:val="num" w:pos="0"/>
        </w:tabs>
        <w:ind w:left="720" w:hanging="360"/>
      </w:pPr>
      <w:rPr>
        <w:rFonts w:hint="default"/>
        <w:b/>
      </w:rPr>
    </w:lvl>
  </w:abstractNum>
  <w:abstractNum w:abstractNumId="4" w15:restartNumberingAfterBreak="0">
    <w:nsid w:val="00000005"/>
    <w:multiLevelType w:val="singleLevel"/>
    <w:tmpl w:val="00000005"/>
    <w:name w:val="WW8Num9"/>
    <w:lvl w:ilvl="0">
      <w:start w:val="1"/>
      <w:numFmt w:val="decimal"/>
      <w:lvlText w:val="%1)"/>
      <w:lvlJc w:val="left"/>
      <w:pPr>
        <w:tabs>
          <w:tab w:val="num" w:pos="0"/>
        </w:tabs>
        <w:ind w:left="720" w:hanging="360"/>
      </w:pPr>
      <w:rPr>
        <w:rFonts w:hint="default"/>
        <w:b/>
        <w:color w:val="002060"/>
      </w:rPr>
    </w:lvl>
  </w:abstractNum>
  <w:abstractNum w:abstractNumId="5" w15:restartNumberingAfterBreak="0">
    <w:nsid w:val="00000006"/>
    <w:multiLevelType w:val="singleLevel"/>
    <w:tmpl w:val="00000006"/>
    <w:name w:val="WW8Num10"/>
    <w:lvl w:ilvl="0">
      <w:numFmt w:val="bullet"/>
      <w:lvlText w:val="•"/>
      <w:lvlJc w:val="left"/>
      <w:pPr>
        <w:tabs>
          <w:tab w:val="num" w:pos="0"/>
        </w:tabs>
        <w:ind w:left="720" w:hanging="360"/>
      </w:pPr>
      <w:rPr>
        <w:rFonts w:ascii="Calibri" w:hAnsi="Calibri" w:cs="Calibri" w:hint="default"/>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A6F01AC"/>
    <w:multiLevelType w:val="hybridMultilevel"/>
    <w:tmpl w:val="A37E9A1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0BE44A0B"/>
    <w:multiLevelType w:val="hybridMultilevel"/>
    <w:tmpl w:val="7910C4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9CE3466"/>
    <w:multiLevelType w:val="hybridMultilevel"/>
    <w:tmpl w:val="B3A68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4F2688"/>
    <w:multiLevelType w:val="hybridMultilevel"/>
    <w:tmpl w:val="DDF48D7E"/>
    <w:lvl w:ilvl="0" w:tplc="4D7E4574">
      <w:numFmt w:val="bullet"/>
      <w:lvlText w:val="•"/>
      <w:lvlJc w:val="left"/>
      <w:pPr>
        <w:ind w:left="705" w:hanging="705"/>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3266B8"/>
    <w:multiLevelType w:val="hybridMultilevel"/>
    <w:tmpl w:val="CAACDE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22E791A"/>
    <w:multiLevelType w:val="hybridMultilevel"/>
    <w:tmpl w:val="52EA6288"/>
    <w:lvl w:ilvl="0" w:tplc="FC6C84CE">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997EC9"/>
    <w:multiLevelType w:val="hybridMultilevel"/>
    <w:tmpl w:val="E3CE0672"/>
    <w:lvl w:ilvl="0" w:tplc="4D7E4574">
      <w:numFmt w:val="bullet"/>
      <w:lvlText w:val="•"/>
      <w:lvlJc w:val="left"/>
      <w:pPr>
        <w:ind w:left="1065" w:hanging="705"/>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C8067B"/>
    <w:multiLevelType w:val="hybridMultilevel"/>
    <w:tmpl w:val="8CD2D680"/>
    <w:lvl w:ilvl="0" w:tplc="84F42E1E">
      <w:start w:val="1"/>
      <w:numFmt w:val="decimal"/>
      <w:lvlText w:val="%1)"/>
      <w:lvlJc w:val="left"/>
      <w:pPr>
        <w:ind w:left="720" w:hanging="360"/>
      </w:pPr>
      <w:rPr>
        <w:b/>
        <w:color w:val="C45911" w:themeColor="accent2" w:themeShade="BF"/>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49F2167"/>
    <w:multiLevelType w:val="hybridMultilevel"/>
    <w:tmpl w:val="8B46A8A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27715FDC"/>
    <w:multiLevelType w:val="hybridMultilevel"/>
    <w:tmpl w:val="9902714A"/>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0F3B3D"/>
    <w:multiLevelType w:val="hybridMultilevel"/>
    <w:tmpl w:val="431AAB4E"/>
    <w:lvl w:ilvl="0" w:tplc="01603B74">
      <w:numFmt w:val="bullet"/>
      <w:lvlText w:val=""/>
      <w:lvlJc w:val="left"/>
      <w:pPr>
        <w:ind w:left="720" w:hanging="360"/>
      </w:pPr>
      <w:rPr>
        <w:rFonts w:ascii="Symbol" w:eastAsiaTheme="minorHAnsi" w:hAnsi="Symbol"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2FAF0D1B"/>
    <w:multiLevelType w:val="hybridMultilevel"/>
    <w:tmpl w:val="A37E9A1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9" w15:restartNumberingAfterBreak="0">
    <w:nsid w:val="3C1F3A6C"/>
    <w:multiLevelType w:val="multilevel"/>
    <w:tmpl w:val="F49210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8E0AD9"/>
    <w:multiLevelType w:val="hybridMultilevel"/>
    <w:tmpl w:val="D9B6C36A"/>
    <w:lvl w:ilvl="0" w:tplc="6218C52C">
      <w:start w:val="1"/>
      <w:numFmt w:val="bullet"/>
      <w:lvlText w:val=""/>
      <w:lvlJc w:val="left"/>
      <w:pPr>
        <w:ind w:left="420" w:hanging="360"/>
      </w:pPr>
      <w:rPr>
        <w:rFonts w:ascii="Symbol" w:eastAsia="Times New Roman" w:hAnsi="Symbol"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1" w15:restartNumberingAfterBreak="0">
    <w:nsid w:val="55E16686"/>
    <w:multiLevelType w:val="hybridMultilevel"/>
    <w:tmpl w:val="6C0C714A"/>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57D55B40"/>
    <w:multiLevelType w:val="hybridMultilevel"/>
    <w:tmpl w:val="B2760DD8"/>
    <w:lvl w:ilvl="0" w:tplc="7638B7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0F462A"/>
    <w:multiLevelType w:val="hybridMultilevel"/>
    <w:tmpl w:val="2696D0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B04B9B"/>
    <w:multiLevelType w:val="hybridMultilevel"/>
    <w:tmpl w:val="407E76E6"/>
    <w:lvl w:ilvl="0" w:tplc="F7E4AF68">
      <w:start w:val="1"/>
      <w:numFmt w:val="decimal"/>
      <w:lvlText w:val="%1)"/>
      <w:lvlJc w:val="left"/>
      <w:pPr>
        <w:ind w:left="720" w:hanging="360"/>
      </w:pPr>
      <w:rPr>
        <w:rFonts w:hint="default"/>
        <w:b/>
        <w:color w:val="00206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0BE16EB"/>
    <w:multiLevelType w:val="hybridMultilevel"/>
    <w:tmpl w:val="A37E9A1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63C41849"/>
    <w:multiLevelType w:val="hybridMultilevel"/>
    <w:tmpl w:val="6C0C714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6414165D"/>
    <w:multiLevelType w:val="multilevel"/>
    <w:tmpl w:val="9E5EFDCC"/>
    <w:lvl w:ilvl="0">
      <w:start w:val="1"/>
      <w:numFmt w:val="decimal"/>
      <w:lvlText w:val="%1."/>
      <w:lvlJc w:val="left"/>
      <w:pPr>
        <w:ind w:left="360" w:hanging="360"/>
      </w:pPr>
    </w:lvl>
    <w:lvl w:ilvl="1">
      <w:start w:val="1"/>
      <w:numFmt w:val="decimal"/>
      <w:lvlText w:val="%1.%2."/>
      <w:lvlJc w:val="left"/>
      <w:pPr>
        <w:ind w:left="857"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677E98"/>
    <w:multiLevelType w:val="hybridMultilevel"/>
    <w:tmpl w:val="3B4056F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6A1573E0"/>
    <w:multiLevelType w:val="hybridMultilevel"/>
    <w:tmpl w:val="EED877AA"/>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047C92"/>
    <w:multiLevelType w:val="hybridMultilevel"/>
    <w:tmpl w:val="A37E9A1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1" w15:restartNumberingAfterBreak="0">
    <w:nsid w:val="7E8578A3"/>
    <w:multiLevelType w:val="hybridMultilevel"/>
    <w:tmpl w:val="21FC22A0"/>
    <w:lvl w:ilvl="0" w:tplc="FC2258EE">
      <w:numFmt w:val="bullet"/>
      <w:lvlText w:val="-"/>
      <w:lvlJc w:val="left"/>
      <w:pPr>
        <w:ind w:left="720" w:hanging="360"/>
      </w:pPr>
      <w:rPr>
        <w:rFonts w:ascii="Tahoma" w:eastAsiaTheme="minorHAns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9"/>
  </w:num>
  <w:num w:numId="9">
    <w:abstractNumId w:val="14"/>
  </w:num>
  <w:num w:numId="10">
    <w:abstractNumId w:val="8"/>
  </w:num>
  <w:num w:numId="11">
    <w:abstractNumId w:val="24"/>
  </w:num>
  <w:num w:numId="12">
    <w:abstractNumId w:val="22"/>
  </w:num>
  <w:num w:numId="13">
    <w:abstractNumId w:val="9"/>
  </w:num>
  <w:num w:numId="14">
    <w:abstractNumId w:val="13"/>
  </w:num>
  <w:num w:numId="15">
    <w:abstractNumId w:val="10"/>
  </w:num>
  <w:num w:numId="16">
    <w:abstractNumId w:val="23"/>
  </w:num>
  <w:num w:numId="17">
    <w:abstractNumId w:val="31"/>
  </w:num>
  <w:num w:numId="18">
    <w:abstractNumId w:val="28"/>
  </w:num>
  <w:num w:numId="19">
    <w:abstractNumId w:val="17"/>
  </w:num>
  <w:num w:numId="20">
    <w:abstractNumId w:val="12"/>
  </w:num>
  <w:num w:numId="21">
    <w:abstractNumId w:val="26"/>
  </w:num>
  <w:num w:numId="22">
    <w:abstractNumId w:val="21"/>
  </w:num>
  <w:num w:numId="23">
    <w:abstractNumId w:val="30"/>
  </w:num>
  <w:num w:numId="24">
    <w:abstractNumId w:val="27"/>
  </w:num>
  <w:num w:numId="25">
    <w:abstractNumId w:val="25"/>
  </w:num>
  <w:num w:numId="26">
    <w:abstractNumId w:val="7"/>
  </w:num>
  <w:num w:numId="27">
    <w:abstractNumId w:val="18"/>
  </w:num>
  <w:num w:numId="28">
    <w:abstractNumId w:val="11"/>
  </w:num>
  <w:num w:numId="29">
    <w:abstractNumId w:val="15"/>
  </w:num>
  <w:num w:numId="30">
    <w:abstractNumId w:val="29"/>
  </w:num>
  <w:num w:numId="31">
    <w:abstractNumId w:val="2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fr-FR"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12"/>
    <w:rsid w:val="00053FF1"/>
    <w:rsid w:val="00064A57"/>
    <w:rsid w:val="00080B63"/>
    <w:rsid w:val="000A1048"/>
    <w:rsid w:val="000A16F5"/>
    <w:rsid w:val="000A5640"/>
    <w:rsid w:val="000B6DC9"/>
    <w:rsid w:val="000E0155"/>
    <w:rsid w:val="0010245E"/>
    <w:rsid w:val="001027EB"/>
    <w:rsid w:val="00103E84"/>
    <w:rsid w:val="00112E0C"/>
    <w:rsid w:val="00123C6B"/>
    <w:rsid w:val="00131A8F"/>
    <w:rsid w:val="00132B8E"/>
    <w:rsid w:val="00164B2B"/>
    <w:rsid w:val="001A32E5"/>
    <w:rsid w:val="001F7CA0"/>
    <w:rsid w:val="00201562"/>
    <w:rsid w:val="002034F5"/>
    <w:rsid w:val="00204E19"/>
    <w:rsid w:val="0022023E"/>
    <w:rsid w:val="00227525"/>
    <w:rsid w:val="0026030D"/>
    <w:rsid w:val="00275ACF"/>
    <w:rsid w:val="0028425C"/>
    <w:rsid w:val="002925E7"/>
    <w:rsid w:val="00294472"/>
    <w:rsid w:val="002A115D"/>
    <w:rsid w:val="002A158C"/>
    <w:rsid w:val="002C102A"/>
    <w:rsid w:val="002C6C4E"/>
    <w:rsid w:val="002D77E2"/>
    <w:rsid w:val="002F6580"/>
    <w:rsid w:val="003169F7"/>
    <w:rsid w:val="00347C96"/>
    <w:rsid w:val="00354D49"/>
    <w:rsid w:val="00372C7C"/>
    <w:rsid w:val="003949BD"/>
    <w:rsid w:val="003964CD"/>
    <w:rsid w:val="003A07BA"/>
    <w:rsid w:val="003B3F46"/>
    <w:rsid w:val="003E0687"/>
    <w:rsid w:val="003E75B3"/>
    <w:rsid w:val="003F1225"/>
    <w:rsid w:val="00401E44"/>
    <w:rsid w:val="00405548"/>
    <w:rsid w:val="0042352C"/>
    <w:rsid w:val="00447658"/>
    <w:rsid w:val="00453CDC"/>
    <w:rsid w:val="00462190"/>
    <w:rsid w:val="004A58A9"/>
    <w:rsid w:val="004A5B67"/>
    <w:rsid w:val="004B7107"/>
    <w:rsid w:val="004B7108"/>
    <w:rsid w:val="004B78B7"/>
    <w:rsid w:val="004E52FC"/>
    <w:rsid w:val="004F29A9"/>
    <w:rsid w:val="00505DFC"/>
    <w:rsid w:val="00512075"/>
    <w:rsid w:val="00521147"/>
    <w:rsid w:val="00523F83"/>
    <w:rsid w:val="00581B1C"/>
    <w:rsid w:val="00586378"/>
    <w:rsid w:val="005B12B8"/>
    <w:rsid w:val="005B1B22"/>
    <w:rsid w:val="005D344C"/>
    <w:rsid w:val="005E5823"/>
    <w:rsid w:val="005F02C8"/>
    <w:rsid w:val="005F25CB"/>
    <w:rsid w:val="005F775E"/>
    <w:rsid w:val="00605CDC"/>
    <w:rsid w:val="00647751"/>
    <w:rsid w:val="006A66E5"/>
    <w:rsid w:val="006A7BE2"/>
    <w:rsid w:val="006B0789"/>
    <w:rsid w:val="006B48D5"/>
    <w:rsid w:val="007052EA"/>
    <w:rsid w:val="00715841"/>
    <w:rsid w:val="0075305C"/>
    <w:rsid w:val="007616DC"/>
    <w:rsid w:val="00774983"/>
    <w:rsid w:val="007943F6"/>
    <w:rsid w:val="00796A75"/>
    <w:rsid w:val="007A0DCE"/>
    <w:rsid w:val="007A6346"/>
    <w:rsid w:val="007A7DCA"/>
    <w:rsid w:val="007C1B39"/>
    <w:rsid w:val="007D2708"/>
    <w:rsid w:val="007D308F"/>
    <w:rsid w:val="007F2D2C"/>
    <w:rsid w:val="007F72EE"/>
    <w:rsid w:val="0080785B"/>
    <w:rsid w:val="00814602"/>
    <w:rsid w:val="0085346B"/>
    <w:rsid w:val="00862E12"/>
    <w:rsid w:val="0087119A"/>
    <w:rsid w:val="00886421"/>
    <w:rsid w:val="008D2615"/>
    <w:rsid w:val="008E15C9"/>
    <w:rsid w:val="008E340A"/>
    <w:rsid w:val="008E4A85"/>
    <w:rsid w:val="00907ABB"/>
    <w:rsid w:val="0091591D"/>
    <w:rsid w:val="0093273D"/>
    <w:rsid w:val="009518E9"/>
    <w:rsid w:val="009672C4"/>
    <w:rsid w:val="00967DD9"/>
    <w:rsid w:val="00970FEA"/>
    <w:rsid w:val="009B5EEC"/>
    <w:rsid w:val="009B7C21"/>
    <w:rsid w:val="00A12269"/>
    <w:rsid w:val="00A17F49"/>
    <w:rsid w:val="00A2448C"/>
    <w:rsid w:val="00A31B6C"/>
    <w:rsid w:val="00A36DDB"/>
    <w:rsid w:val="00A40A36"/>
    <w:rsid w:val="00A46F76"/>
    <w:rsid w:val="00A543AC"/>
    <w:rsid w:val="00A65D4E"/>
    <w:rsid w:val="00A67E05"/>
    <w:rsid w:val="00A7462C"/>
    <w:rsid w:val="00A80C67"/>
    <w:rsid w:val="00A81A92"/>
    <w:rsid w:val="00AD5121"/>
    <w:rsid w:val="00AE7D15"/>
    <w:rsid w:val="00AF428E"/>
    <w:rsid w:val="00AF7A1D"/>
    <w:rsid w:val="00B25F32"/>
    <w:rsid w:val="00B423E5"/>
    <w:rsid w:val="00B468B7"/>
    <w:rsid w:val="00B54A0E"/>
    <w:rsid w:val="00B6404F"/>
    <w:rsid w:val="00B66D4D"/>
    <w:rsid w:val="00B7767B"/>
    <w:rsid w:val="00B81AD7"/>
    <w:rsid w:val="00B837C5"/>
    <w:rsid w:val="00BC4FF7"/>
    <w:rsid w:val="00BD42C7"/>
    <w:rsid w:val="00BF4E00"/>
    <w:rsid w:val="00C1530A"/>
    <w:rsid w:val="00C21A38"/>
    <w:rsid w:val="00C3157E"/>
    <w:rsid w:val="00C43DB0"/>
    <w:rsid w:val="00C62EA8"/>
    <w:rsid w:val="00C6791A"/>
    <w:rsid w:val="00CB2D4C"/>
    <w:rsid w:val="00CB3092"/>
    <w:rsid w:val="00CD386C"/>
    <w:rsid w:val="00CD4390"/>
    <w:rsid w:val="00CD44FC"/>
    <w:rsid w:val="00CF3339"/>
    <w:rsid w:val="00CF453B"/>
    <w:rsid w:val="00D119B0"/>
    <w:rsid w:val="00D12E2F"/>
    <w:rsid w:val="00D3419A"/>
    <w:rsid w:val="00D57167"/>
    <w:rsid w:val="00D66B9A"/>
    <w:rsid w:val="00D977A9"/>
    <w:rsid w:val="00DE54D0"/>
    <w:rsid w:val="00DF1908"/>
    <w:rsid w:val="00DF460C"/>
    <w:rsid w:val="00E02451"/>
    <w:rsid w:val="00E06762"/>
    <w:rsid w:val="00E126B4"/>
    <w:rsid w:val="00E1351B"/>
    <w:rsid w:val="00E17C16"/>
    <w:rsid w:val="00E23B67"/>
    <w:rsid w:val="00E50A0D"/>
    <w:rsid w:val="00E65B45"/>
    <w:rsid w:val="00E946F7"/>
    <w:rsid w:val="00EA3C35"/>
    <w:rsid w:val="00EC1FF0"/>
    <w:rsid w:val="00EC7C28"/>
    <w:rsid w:val="00F369F5"/>
    <w:rsid w:val="00F44BA9"/>
    <w:rsid w:val="00F53225"/>
    <w:rsid w:val="00F56B90"/>
    <w:rsid w:val="00F7550D"/>
    <w:rsid w:val="00F8575A"/>
    <w:rsid w:val="00F92B95"/>
    <w:rsid w:val="00FA0600"/>
    <w:rsid w:val="00FB772F"/>
    <w:rsid w:val="00FF0A62"/>
    <w:rsid w:val="00FF1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8F4C61"/>
  <w15:docId w15:val="{F4488B74-82A8-496B-A7AF-59099A9C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92"/>
    <w:pPr>
      <w:suppressAutoHyphens/>
    </w:pPr>
    <w:rPr>
      <w:sz w:val="24"/>
      <w:szCs w:val="24"/>
      <w:lang w:eastAsia="zh-CN"/>
    </w:rPr>
  </w:style>
  <w:style w:type="paragraph" w:styleId="Titre1">
    <w:name w:val="heading 1"/>
    <w:basedOn w:val="Normal"/>
    <w:next w:val="Normal"/>
    <w:link w:val="Titre1Car"/>
    <w:qFormat/>
    <w:rsid w:val="00DE54D0"/>
    <w:pPr>
      <w:keepNext/>
      <w:keepLines/>
      <w:suppressAutoHyphens w:val="0"/>
      <w:spacing w:before="120" w:after="240" w:line="259" w:lineRule="auto"/>
      <w:ind w:left="360" w:hanging="360"/>
      <w:jc w:val="both"/>
      <w:outlineLvl w:val="0"/>
    </w:pPr>
    <w:rPr>
      <w:rFonts w:ascii="Calibri" w:eastAsia="MS Gothic" w:hAnsi="Calibri"/>
      <w:b/>
      <w:color w:val="00B0F0"/>
      <w:sz w:val="32"/>
      <w:szCs w:val="32"/>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7F72EE"/>
    <w:rPr>
      <w:rFonts w:ascii="Symbol" w:hAnsi="Symbol" w:cs="Symbol" w:hint="default"/>
      <w:color w:val="000000"/>
      <w:sz w:val="22"/>
      <w:szCs w:val="22"/>
      <w:lang w:eastAsia="fr-FR"/>
    </w:rPr>
  </w:style>
  <w:style w:type="character" w:customStyle="1" w:styleId="WW8Num2z0">
    <w:name w:val="WW8Num2z0"/>
    <w:rsid w:val="007F72EE"/>
    <w:rPr>
      <w:rFonts w:ascii="Symbol" w:hAnsi="Symbol" w:cs="Symbol" w:hint="default"/>
      <w:color w:val="00000A"/>
      <w:lang w:eastAsia="zh-CN"/>
    </w:rPr>
  </w:style>
  <w:style w:type="character" w:customStyle="1" w:styleId="WW8Num3z0">
    <w:name w:val="WW8Num3z0"/>
    <w:rsid w:val="007F72EE"/>
    <w:rPr>
      <w:rFonts w:ascii="Symbol" w:hAnsi="Symbol" w:cs="OpenSymbol"/>
      <w:sz w:val="22"/>
    </w:rPr>
  </w:style>
  <w:style w:type="character" w:customStyle="1" w:styleId="WW8Num3z1">
    <w:name w:val="WW8Num3z1"/>
    <w:rsid w:val="007F72EE"/>
    <w:rPr>
      <w:rFonts w:ascii="OpenSymbol" w:hAnsi="OpenSymbol" w:cs="OpenSymbol"/>
    </w:rPr>
  </w:style>
  <w:style w:type="character" w:customStyle="1" w:styleId="WW8Num4z0">
    <w:name w:val="WW8Num4z0"/>
    <w:rsid w:val="007F72EE"/>
    <w:rPr>
      <w:rFonts w:ascii="Symbol" w:hAnsi="Symbol" w:cs="Symbol" w:hint="default"/>
      <w:color w:val="000000"/>
      <w:sz w:val="22"/>
      <w:szCs w:val="22"/>
      <w:lang w:eastAsia="fr-FR"/>
    </w:rPr>
  </w:style>
  <w:style w:type="character" w:customStyle="1" w:styleId="WW8Num5z0">
    <w:name w:val="WW8Num5z0"/>
    <w:rsid w:val="007F72EE"/>
  </w:style>
  <w:style w:type="character" w:customStyle="1" w:styleId="WW8Num5z1">
    <w:name w:val="WW8Num5z1"/>
    <w:rsid w:val="007F72EE"/>
  </w:style>
  <w:style w:type="character" w:customStyle="1" w:styleId="WW8Num5z2">
    <w:name w:val="WW8Num5z2"/>
    <w:rsid w:val="007F72EE"/>
  </w:style>
  <w:style w:type="character" w:customStyle="1" w:styleId="WW8Num5z3">
    <w:name w:val="WW8Num5z3"/>
    <w:rsid w:val="007F72EE"/>
  </w:style>
  <w:style w:type="character" w:customStyle="1" w:styleId="WW8Num5z4">
    <w:name w:val="WW8Num5z4"/>
    <w:rsid w:val="007F72EE"/>
  </w:style>
  <w:style w:type="character" w:customStyle="1" w:styleId="WW8Num5z5">
    <w:name w:val="WW8Num5z5"/>
    <w:rsid w:val="007F72EE"/>
  </w:style>
  <w:style w:type="character" w:customStyle="1" w:styleId="WW8Num5z6">
    <w:name w:val="WW8Num5z6"/>
    <w:rsid w:val="007F72EE"/>
  </w:style>
  <w:style w:type="character" w:customStyle="1" w:styleId="WW8Num5z7">
    <w:name w:val="WW8Num5z7"/>
    <w:rsid w:val="007F72EE"/>
  </w:style>
  <w:style w:type="character" w:customStyle="1" w:styleId="WW8Num5z8">
    <w:name w:val="WW8Num5z8"/>
    <w:rsid w:val="007F72EE"/>
  </w:style>
  <w:style w:type="character" w:customStyle="1" w:styleId="WW8Num6z0">
    <w:name w:val="WW8Num6z0"/>
    <w:rsid w:val="007F72EE"/>
    <w:rPr>
      <w:rFonts w:hint="default"/>
      <w:b/>
    </w:rPr>
  </w:style>
  <w:style w:type="character" w:customStyle="1" w:styleId="WW8Num6z1">
    <w:name w:val="WW8Num6z1"/>
    <w:rsid w:val="007F72EE"/>
    <w:rPr>
      <w:b/>
    </w:rPr>
  </w:style>
  <w:style w:type="character" w:customStyle="1" w:styleId="WW8Num6z2">
    <w:name w:val="WW8Num6z2"/>
    <w:rsid w:val="007F72EE"/>
  </w:style>
  <w:style w:type="character" w:customStyle="1" w:styleId="WW8Num6z3">
    <w:name w:val="WW8Num6z3"/>
    <w:rsid w:val="007F72EE"/>
  </w:style>
  <w:style w:type="character" w:customStyle="1" w:styleId="WW8Num6z4">
    <w:name w:val="WW8Num6z4"/>
    <w:rsid w:val="007F72EE"/>
  </w:style>
  <w:style w:type="character" w:customStyle="1" w:styleId="WW8Num6z5">
    <w:name w:val="WW8Num6z5"/>
    <w:rsid w:val="007F72EE"/>
  </w:style>
  <w:style w:type="character" w:customStyle="1" w:styleId="WW8Num6z6">
    <w:name w:val="WW8Num6z6"/>
    <w:rsid w:val="007F72EE"/>
  </w:style>
  <w:style w:type="character" w:customStyle="1" w:styleId="WW8Num6z7">
    <w:name w:val="WW8Num6z7"/>
    <w:rsid w:val="007F72EE"/>
  </w:style>
  <w:style w:type="character" w:customStyle="1" w:styleId="WW8Num6z8">
    <w:name w:val="WW8Num6z8"/>
    <w:rsid w:val="007F72EE"/>
  </w:style>
  <w:style w:type="character" w:customStyle="1" w:styleId="WW8Num7z0">
    <w:name w:val="WW8Num7z0"/>
    <w:rsid w:val="007F72EE"/>
    <w:rPr>
      <w:rFonts w:hint="default"/>
      <w:b/>
    </w:rPr>
  </w:style>
  <w:style w:type="character" w:customStyle="1" w:styleId="WW8Num7z1">
    <w:name w:val="WW8Num7z1"/>
    <w:rsid w:val="007F72EE"/>
  </w:style>
  <w:style w:type="character" w:customStyle="1" w:styleId="WW8Num7z2">
    <w:name w:val="WW8Num7z2"/>
    <w:rsid w:val="007F72EE"/>
  </w:style>
  <w:style w:type="character" w:customStyle="1" w:styleId="WW8Num7z3">
    <w:name w:val="WW8Num7z3"/>
    <w:rsid w:val="007F72EE"/>
  </w:style>
  <w:style w:type="character" w:customStyle="1" w:styleId="WW8Num7z4">
    <w:name w:val="WW8Num7z4"/>
    <w:rsid w:val="007F72EE"/>
  </w:style>
  <w:style w:type="character" w:customStyle="1" w:styleId="WW8Num7z5">
    <w:name w:val="WW8Num7z5"/>
    <w:rsid w:val="007F72EE"/>
  </w:style>
  <w:style w:type="character" w:customStyle="1" w:styleId="WW8Num7z6">
    <w:name w:val="WW8Num7z6"/>
    <w:rsid w:val="007F72EE"/>
  </w:style>
  <w:style w:type="character" w:customStyle="1" w:styleId="WW8Num7z7">
    <w:name w:val="WW8Num7z7"/>
    <w:rsid w:val="007F72EE"/>
  </w:style>
  <w:style w:type="character" w:customStyle="1" w:styleId="WW8Num7z8">
    <w:name w:val="WW8Num7z8"/>
    <w:rsid w:val="007F72EE"/>
  </w:style>
  <w:style w:type="character" w:customStyle="1" w:styleId="WW8Num8z0">
    <w:name w:val="WW8Num8z0"/>
    <w:rsid w:val="007F72EE"/>
    <w:rPr>
      <w:rFonts w:ascii="Symbol" w:hAnsi="Symbol" w:cs="Symbol" w:hint="default"/>
    </w:rPr>
  </w:style>
  <w:style w:type="character" w:customStyle="1" w:styleId="WW8Num8z1">
    <w:name w:val="WW8Num8z1"/>
    <w:rsid w:val="007F72EE"/>
    <w:rPr>
      <w:rFonts w:ascii="Courier New" w:hAnsi="Courier New" w:cs="Courier New" w:hint="default"/>
    </w:rPr>
  </w:style>
  <w:style w:type="character" w:customStyle="1" w:styleId="WW8Num8z2">
    <w:name w:val="WW8Num8z2"/>
    <w:rsid w:val="007F72EE"/>
    <w:rPr>
      <w:rFonts w:ascii="Wingdings" w:hAnsi="Wingdings" w:cs="Wingdings" w:hint="default"/>
    </w:rPr>
  </w:style>
  <w:style w:type="character" w:customStyle="1" w:styleId="WW8Num9z0">
    <w:name w:val="WW8Num9z0"/>
    <w:rsid w:val="007F72EE"/>
    <w:rPr>
      <w:rFonts w:hint="default"/>
      <w:b/>
      <w:color w:val="002060"/>
    </w:rPr>
  </w:style>
  <w:style w:type="character" w:customStyle="1" w:styleId="WW8Num9z1">
    <w:name w:val="WW8Num9z1"/>
    <w:rsid w:val="007F72EE"/>
  </w:style>
  <w:style w:type="character" w:customStyle="1" w:styleId="WW8Num9z2">
    <w:name w:val="WW8Num9z2"/>
    <w:rsid w:val="007F72EE"/>
  </w:style>
  <w:style w:type="character" w:customStyle="1" w:styleId="WW8Num9z3">
    <w:name w:val="WW8Num9z3"/>
    <w:rsid w:val="007F72EE"/>
  </w:style>
  <w:style w:type="character" w:customStyle="1" w:styleId="WW8Num9z4">
    <w:name w:val="WW8Num9z4"/>
    <w:rsid w:val="007F72EE"/>
  </w:style>
  <w:style w:type="character" w:customStyle="1" w:styleId="WW8Num9z5">
    <w:name w:val="WW8Num9z5"/>
    <w:rsid w:val="007F72EE"/>
  </w:style>
  <w:style w:type="character" w:customStyle="1" w:styleId="WW8Num9z6">
    <w:name w:val="WW8Num9z6"/>
    <w:rsid w:val="007F72EE"/>
  </w:style>
  <w:style w:type="character" w:customStyle="1" w:styleId="WW8Num9z7">
    <w:name w:val="WW8Num9z7"/>
    <w:rsid w:val="007F72EE"/>
  </w:style>
  <w:style w:type="character" w:customStyle="1" w:styleId="WW8Num9z8">
    <w:name w:val="WW8Num9z8"/>
    <w:rsid w:val="007F72EE"/>
  </w:style>
  <w:style w:type="character" w:customStyle="1" w:styleId="WW8Num10z0">
    <w:name w:val="WW8Num10z0"/>
    <w:rsid w:val="007F72EE"/>
    <w:rPr>
      <w:rFonts w:ascii="Calibri" w:eastAsia="Calibri" w:hAnsi="Calibri" w:cs="Calibri" w:hint="default"/>
    </w:rPr>
  </w:style>
  <w:style w:type="character" w:customStyle="1" w:styleId="WW8Num10z1">
    <w:name w:val="WW8Num10z1"/>
    <w:rsid w:val="007F72EE"/>
    <w:rPr>
      <w:rFonts w:ascii="Courier New" w:hAnsi="Courier New" w:cs="Courier New" w:hint="default"/>
    </w:rPr>
  </w:style>
  <w:style w:type="character" w:customStyle="1" w:styleId="WW8Num10z2">
    <w:name w:val="WW8Num10z2"/>
    <w:rsid w:val="007F72EE"/>
    <w:rPr>
      <w:rFonts w:ascii="Wingdings" w:hAnsi="Wingdings" w:cs="Wingdings" w:hint="default"/>
    </w:rPr>
  </w:style>
  <w:style w:type="character" w:customStyle="1" w:styleId="WW8Num10z3">
    <w:name w:val="WW8Num10z3"/>
    <w:rsid w:val="007F72EE"/>
    <w:rPr>
      <w:rFonts w:ascii="Symbol" w:hAnsi="Symbol" w:cs="Symbol" w:hint="default"/>
    </w:rPr>
  </w:style>
  <w:style w:type="character" w:customStyle="1" w:styleId="Policepardfaut7">
    <w:name w:val="Police par défaut7"/>
    <w:rsid w:val="007F72EE"/>
  </w:style>
  <w:style w:type="character" w:customStyle="1" w:styleId="WW8Num4z1">
    <w:name w:val="WW8Num4z1"/>
    <w:rsid w:val="007F72EE"/>
  </w:style>
  <w:style w:type="character" w:customStyle="1" w:styleId="WW8Num4z2">
    <w:name w:val="WW8Num4z2"/>
    <w:rsid w:val="007F72EE"/>
  </w:style>
  <w:style w:type="character" w:customStyle="1" w:styleId="WW8Num4z3">
    <w:name w:val="WW8Num4z3"/>
    <w:rsid w:val="007F72EE"/>
  </w:style>
  <w:style w:type="character" w:customStyle="1" w:styleId="WW8Num4z4">
    <w:name w:val="WW8Num4z4"/>
    <w:rsid w:val="007F72EE"/>
  </w:style>
  <w:style w:type="character" w:customStyle="1" w:styleId="WW8Num4z5">
    <w:name w:val="WW8Num4z5"/>
    <w:rsid w:val="007F72EE"/>
  </w:style>
  <w:style w:type="character" w:customStyle="1" w:styleId="WW8Num4z6">
    <w:name w:val="WW8Num4z6"/>
    <w:rsid w:val="007F72EE"/>
  </w:style>
  <w:style w:type="character" w:customStyle="1" w:styleId="WW8Num4z7">
    <w:name w:val="WW8Num4z7"/>
    <w:rsid w:val="007F72EE"/>
  </w:style>
  <w:style w:type="character" w:customStyle="1" w:styleId="WW8Num4z8">
    <w:name w:val="WW8Num4z8"/>
    <w:rsid w:val="007F72EE"/>
  </w:style>
  <w:style w:type="character" w:customStyle="1" w:styleId="Policepardfaut1">
    <w:name w:val="Police par défaut1"/>
    <w:rsid w:val="007F72EE"/>
  </w:style>
  <w:style w:type="character" w:customStyle="1" w:styleId="WW8Num3z2">
    <w:name w:val="WW8Num3z2"/>
    <w:rsid w:val="007F72EE"/>
  </w:style>
  <w:style w:type="character" w:customStyle="1" w:styleId="WW8Num3z3">
    <w:name w:val="WW8Num3z3"/>
    <w:rsid w:val="007F72EE"/>
  </w:style>
  <w:style w:type="character" w:customStyle="1" w:styleId="WW8Num3z4">
    <w:name w:val="WW8Num3z4"/>
    <w:rsid w:val="007F72EE"/>
  </w:style>
  <w:style w:type="character" w:customStyle="1" w:styleId="WW8Num3z5">
    <w:name w:val="WW8Num3z5"/>
    <w:rsid w:val="007F72EE"/>
  </w:style>
  <w:style w:type="character" w:customStyle="1" w:styleId="WW8Num3z6">
    <w:name w:val="WW8Num3z6"/>
    <w:rsid w:val="007F72EE"/>
  </w:style>
  <w:style w:type="character" w:customStyle="1" w:styleId="WW8Num3z7">
    <w:name w:val="WW8Num3z7"/>
    <w:rsid w:val="007F72EE"/>
  </w:style>
  <w:style w:type="character" w:customStyle="1" w:styleId="WW8Num3z8">
    <w:name w:val="WW8Num3z8"/>
    <w:rsid w:val="007F72EE"/>
  </w:style>
  <w:style w:type="character" w:customStyle="1" w:styleId="Policepardfaut6">
    <w:name w:val="Police par défaut6"/>
    <w:rsid w:val="007F72EE"/>
  </w:style>
  <w:style w:type="character" w:customStyle="1" w:styleId="Policepardfaut5">
    <w:name w:val="Police par défaut5"/>
    <w:rsid w:val="007F72EE"/>
  </w:style>
  <w:style w:type="character" w:customStyle="1" w:styleId="Policepardfaut4">
    <w:name w:val="Police par défaut4"/>
    <w:rsid w:val="007F72EE"/>
  </w:style>
  <w:style w:type="character" w:customStyle="1" w:styleId="WW8Num2z1">
    <w:name w:val="WW8Num2z1"/>
    <w:rsid w:val="007F72EE"/>
  </w:style>
  <w:style w:type="character" w:customStyle="1" w:styleId="WW8Num2z2">
    <w:name w:val="WW8Num2z2"/>
    <w:rsid w:val="007F72EE"/>
  </w:style>
  <w:style w:type="character" w:customStyle="1" w:styleId="WW8Num2z3">
    <w:name w:val="WW8Num2z3"/>
    <w:rsid w:val="007F72EE"/>
  </w:style>
  <w:style w:type="character" w:customStyle="1" w:styleId="WW8Num2z4">
    <w:name w:val="WW8Num2z4"/>
    <w:rsid w:val="007F72EE"/>
  </w:style>
  <w:style w:type="character" w:customStyle="1" w:styleId="WW8Num2z5">
    <w:name w:val="WW8Num2z5"/>
    <w:rsid w:val="007F72EE"/>
  </w:style>
  <w:style w:type="character" w:customStyle="1" w:styleId="WW8Num2z6">
    <w:name w:val="WW8Num2z6"/>
    <w:rsid w:val="007F72EE"/>
  </w:style>
  <w:style w:type="character" w:customStyle="1" w:styleId="WW8Num2z7">
    <w:name w:val="WW8Num2z7"/>
    <w:rsid w:val="007F72EE"/>
  </w:style>
  <w:style w:type="character" w:customStyle="1" w:styleId="WW8Num2z8">
    <w:name w:val="WW8Num2z8"/>
    <w:rsid w:val="007F72EE"/>
  </w:style>
  <w:style w:type="character" w:customStyle="1" w:styleId="Policepardfaut3">
    <w:name w:val="Police par défaut3"/>
    <w:rsid w:val="007F72EE"/>
  </w:style>
  <w:style w:type="character" w:customStyle="1" w:styleId="WW8Num1z1">
    <w:name w:val="WW8Num1z1"/>
    <w:rsid w:val="007F72EE"/>
    <w:rPr>
      <w:rFonts w:ascii="OpenSymbol" w:hAnsi="OpenSymbol" w:cs="OpenSymbol"/>
    </w:rPr>
  </w:style>
  <w:style w:type="character" w:customStyle="1" w:styleId="Policepardfaut2">
    <w:name w:val="Police par défaut2"/>
    <w:rsid w:val="007F72EE"/>
  </w:style>
  <w:style w:type="character" w:customStyle="1" w:styleId="WW8Num1z2">
    <w:name w:val="WW8Num1z2"/>
    <w:rsid w:val="007F72EE"/>
  </w:style>
  <w:style w:type="character" w:customStyle="1" w:styleId="WW8Num1z3">
    <w:name w:val="WW8Num1z3"/>
    <w:rsid w:val="007F72EE"/>
  </w:style>
  <w:style w:type="character" w:customStyle="1" w:styleId="WW8Num1z4">
    <w:name w:val="WW8Num1z4"/>
    <w:rsid w:val="007F72EE"/>
  </w:style>
  <w:style w:type="character" w:customStyle="1" w:styleId="WW8Num1z5">
    <w:name w:val="WW8Num1z5"/>
    <w:rsid w:val="007F72EE"/>
  </w:style>
  <w:style w:type="character" w:customStyle="1" w:styleId="WW8Num1z6">
    <w:name w:val="WW8Num1z6"/>
    <w:rsid w:val="007F72EE"/>
  </w:style>
  <w:style w:type="character" w:customStyle="1" w:styleId="WW8Num1z7">
    <w:name w:val="WW8Num1z7"/>
    <w:rsid w:val="007F72EE"/>
  </w:style>
  <w:style w:type="character" w:customStyle="1" w:styleId="WW8Num1z8">
    <w:name w:val="WW8Num1z8"/>
    <w:rsid w:val="007F72EE"/>
  </w:style>
  <w:style w:type="character" w:customStyle="1" w:styleId="WW8Num8z3">
    <w:name w:val="WW8Num8z3"/>
    <w:rsid w:val="007F72EE"/>
    <w:rPr>
      <w:rFonts w:ascii="Symbol" w:hAnsi="Symbol" w:cs="Symbol" w:hint="default"/>
    </w:rPr>
  </w:style>
  <w:style w:type="character" w:customStyle="1" w:styleId="Policepardfaut10">
    <w:name w:val="Police par défaut1"/>
    <w:rsid w:val="007F72EE"/>
  </w:style>
  <w:style w:type="character" w:styleId="lev">
    <w:name w:val="Strong"/>
    <w:qFormat/>
    <w:rsid w:val="007F72EE"/>
    <w:rPr>
      <w:b/>
      <w:bCs/>
    </w:rPr>
  </w:style>
  <w:style w:type="character" w:customStyle="1" w:styleId="CarCar">
    <w:name w:val="Car Car"/>
    <w:rsid w:val="007F72EE"/>
    <w:rPr>
      <w:rFonts w:ascii="Segoe UI" w:hAnsi="Segoe UI" w:cs="Segoe UI"/>
      <w:sz w:val="18"/>
      <w:szCs w:val="18"/>
      <w:lang w:eastAsia="zh-CN"/>
    </w:rPr>
  </w:style>
  <w:style w:type="character" w:styleId="Lienhypertexte">
    <w:name w:val="Hyperlink"/>
    <w:rsid w:val="007F72EE"/>
    <w:rPr>
      <w:color w:val="0000FF"/>
      <w:u w:val="single"/>
    </w:rPr>
  </w:style>
  <w:style w:type="character" w:customStyle="1" w:styleId="Caractresdenotedebasdepage">
    <w:name w:val="Caractères de note de bas de page"/>
    <w:rsid w:val="007F72EE"/>
    <w:rPr>
      <w:vertAlign w:val="superscript"/>
    </w:rPr>
  </w:style>
  <w:style w:type="character" w:customStyle="1" w:styleId="Appelnotedebasdep1">
    <w:name w:val="Appel note de bas de p.1"/>
    <w:rsid w:val="007F72EE"/>
    <w:rPr>
      <w:vertAlign w:val="superscript"/>
    </w:rPr>
  </w:style>
  <w:style w:type="character" w:customStyle="1" w:styleId="Caractresdenumrotation">
    <w:name w:val="Caractères de numérotation"/>
    <w:rsid w:val="007F72EE"/>
  </w:style>
  <w:style w:type="character" w:customStyle="1" w:styleId="Puces">
    <w:name w:val="Puces"/>
    <w:rsid w:val="007F72EE"/>
    <w:rPr>
      <w:rFonts w:ascii="OpenSymbol" w:eastAsia="OpenSymbol" w:hAnsi="OpenSymbol" w:cs="OpenSymbol"/>
    </w:rPr>
  </w:style>
  <w:style w:type="character" w:customStyle="1" w:styleId="Caractresdenotedefin">
    <w:name w:val="Caractères de note de fin"/>
    <w:rsid w:val="007F72EE"/>
    <w:rPr>
      <w:vertAlign w:val="superscript"/>
    </w:rPr>
  </w:style>
  <w:style w:type="character" w:customStyle="1" w:styleId="WW-Caractresdenotedefin">
    <w:name w:val="WW-Caractères de note de fin"/>
    <w:rsid w:val="007F72EE"/>
  </w:style>
  <w:style w:type="character" w:customStyle="1" w:styleId="En-tteCar">
    <w:name w:val="En-tête Car"/>
    <w:uiPriority w:val="99"/>
    <w:rsid w:val="007F72EE"/>
    <w:rPr>
      <w:sz w:val="24"/>
      <w:szCs w:val="24"/>
      <w:lang w:eastAsia="zh-CN"/>
    </w:rPr>
  </w:style>
  <w:style w:type="character" w:customStyle="1" w:styleId="PieddepageCar">
    <w:name w:val="Pied de page Car"/>
    <w:rsid w:val="007F72EE"/>
    <w:rPr>
      <w:sz w:val="24"/>
      <w:szCs w:val="24"/>
      <w:lang w:eastAsia="zh-CN"/>
    </w:rPr>
  </w:style>
  <w:style w:type="character" w:customStyle="1" w:styleId="Marquedecommentaire1">
    <w:name w:val="Marque de commentaire1"/>
    <w:rsid w:val="007F72EE"/>
    <w:rPr>
      <w:sz w:val="16"/>
      <w:szCs w:val="16"/>
    </w:rPr>
  </w:style>
  <w:style w:type="character" w:customStyle="1" w:styleId="CommentaireCar">
    <w:name w:val="Commentaire Car"/>
    <w:rsid w:val="007F72EE"/>
    <w:rPr>
      <w:lang w:eastAsia="zh-CN"/>
    </w:rPr>
  </w:style>
  <w:style w:type="character" w:customStyle="1" w:styleId="ObjetducommentaireCar">
    <w:name w:val="Objet du commentaire Car"/>
    <w:rsid w:val="007F72EE"/>
    <w:rPr>
      <w:b/>
      <w:bCs/>
      <w:lang w:eastAsia="zh-CN"/>
    </w:rPr>
  </w:style>
  <w:style w:type="character" w:customStyle="1" w:styleId="DefaultParagraphFont1">
    <w:name w:val="Default Paragraph Font1"/>
    <w:rsid w:val="007F72EE"/>
  </w:style>
  <w:style w:type="character" w:customStyle="1" w:styleId="ParagraphedelisteCar">
    <w:name w:val="Paragraphe de liste Car"/>
    <w:rsid w:val="007F72EE"/>
    <w:rPr>
      <w:rFonts w:cs="Liberation Sans"/>
      <w:szCs w:val="24"/>
      <w:lang w:eastAsia="zh-CN"/>
    </w:rPr>
  </w:style>
  <w:style w:type="character" w:customStyle="1" w:styleId="Marquedecommentaire2">
    <w:name w:val="Marque de commentaire2"/>
    <w:rsid w:val="007F72EE"/>
    <w:rPr>
      <w:sz w:val="16"/>
      <w:szCs w:val="16"/>
    </w:rPr>
  </w:style>
  <w:style w:type="character" w:customStyle="1" w:styleId="CommentaireCar1">
    <w:name w:val="Commentaire Car1"/>
    <w:rsid w:val="007F72EE"/>
    <w:rPr>
      <w:lang w:eastAsia="zh-CN"/>
    </w:rPr>
  </w:style>
  <w:style w:type="character" w:customStyle="1" w:styleId="ObjetducommentaireCar1">
    <w:name w:val="Objet du commentaire Car1"/>
    <w:rsid w:val="007F72EE"/>
    <w:rPr>
      <w:b/>
      <w:bCs/>
      <w:lang w:eastAsia="zh-CN"/>
    </w:rPr>
  </w:style>
  <w:style w:type="character" w:customStyle="1" w:styleId="TextedebullesCar">
    <w:name w:val="Texte de bulles Car"/>
    <w:rsid w:val="007F72EE"/>
    <w:rPr>
      <w:rFonts w:ascii="Segoe UI" w:hAnsi="Segoe UI" w:cs="Segoe UI"/>
      <w:sz w:val="18"/>
      <w:szCs w:val="18"/>
      <w:lang w:eastAsia="zh-CN"/>
    </w:rPr>
  </w:style>
  <w:style w:type="paragraph" w:customStyle="1" w:styleId="Titre8">
    <w:name w:val="Titre8"/>
    <w:basedOn w:val="Normal"/>
    <w:next w:val="Corpsdetexte"/>
    <w:rsid w:val="007F72EE"/>
    <w:pPr>
      <w:keepNext/>
      <w:spacing w:before="240" w:after="120"/>
    </w:pPr>
    <w:rPr>
      <w:rFonts w:ascii="Liberation Sans" w:eastAsia="Microsoft YaHei" w:hAnsi="Liberation Sans" w:cs="Lucida Sans"/>
      <w:sz w:val="28"/>
      <w:szCs w:val="28"/>
    </w:rPr>
  </w:style>
  <w:style w:type="paragraph" w:styleId="Corpsdetexte">
    <w:name w:val="Body Text"/>
    <w:basedOn w:val="Normal"/>
    <w:rsid w:val="007F72EE"/>
    <w:pPr>
      <w:spacing w:after="120"/>
    </w:pPr>
  </w:style>
  <w:style w:type="paragraph" w:styleId="Liste">
    <w:name w:val="List"/>
    <w:basedOn w:val="Corpsdetexte"/>
    <w:rsid w:val="007F72EE"/>
    <w:rPr>
      <w:rFonts w:cs="Mangal"/>
    </w:rPr>
  </w:style>
  <w:style w:type="paragraph" w:styleId="Lgende">
    <w:name w:val="caption"/>
    <w:basedOn w:val="Normal"/>
    <w:qFormat/>
    <w:rsid w:val="007F72EE"/>
    <w:pPr>
      <w:suppressLineNumbers/>
      <w:spacing w:before="120" w:after="120"/>
    </w:pPr>
    <w:rPr>
      <w:rFonts w:cs="Lucida Sans"/>
      <w:i/>
      <w:iCs/>
    </w:rPr>
  </w:style>
  <w:style w:type="paragraph" w:customStyle="1" w:styleId="Index">
    <w:name w:val="Index"/>
    <w:basedOn w:val="Normal"/>
    <w:rsid w:val="007F72EE"/>
    <w:pPr>
      <w:suppressLineNumbers/>
    </w:pPr>
    <w:rPr>
      <w:rFonts w:cs="Mangal"/>
    </w:rPr>
  </w:style>
  <w:style w:type="paragraph" w:customStyle="1" w:styleId="Titre7">
    <w:name w:val="Titre7"/>
    <w:basedOn w:val="Normal"/>
    <w:next w:val="Corpsdetexte"/>
    <w:rsid w:val="007F72EE"/>
    <w:pPr>
      <w:keepNext/>
      <w:spacing w:before="240" w:after="120"/>
    </w:pPr>
    <w:rPr>
      <w:rFonts w:ascii="Liberation Sans" w:eastAsia="Microsoft YaHei" w:hAnsi="Liberation Sans" w:cs="Lucida Sans"/>
      <w:sz w:val="28"/>
      <w:szCs w:val="28"/>
    </w:rPr>
  </w:style>
  <w:style w:type="paragraph" w:customStyle="1" w:styleId="Titre6">
    <w:name w:val="Titre6"/>
    <w:basedOn w:val="Normal"/>
    <w:next w:val="Corpsdetexte"/>
    <w:rsid w:val="007F72EE"/>
    <w:pPr>
      <w:keepNext/>
      <w:spacing w:before="240" w:after="120"/>
    </w:pPr>
    <w:rPr>
      <w:rFonts w:ascii="Liberation Sans" w:eastAsia="Microsoft YaHei" w:hAnsi="Liberation Sans" w:cs="Lucida Sans"/>
      <w:sz w:val="28"/>
      <w:szCs w:val="28"/>
    </w:rPr>
  </w:style>
  <w:style w:type="paragraph" w:customStyle="1" w:styleId="Lgende1">
    <w:name w:val="Légende1"/>
    <w:basedOn w:val="Normal"/>
    <w:rsid w:val="007F72EE"/>
    <w:pPr>
      <w:suppressLineNumbers/>
      <w:spacing w:before="120" w:after="120"/>
    </w:pPr>
    <w:rPr>
      <w:rFonts w:cs="Mangal"/>
      <w:i/>
      <w:iCs/>
    </w:rPr>
  </w:style>
  <w:style w:type="paragraph" w:customStyle="1" w:styleId="Titre5">
    <w:name w:val="Titre5"/>
    <w:basedOn w:val="Normal"/>
    <w:next w:val="Corpsdetexte"/>
    <w:rsid w:val="007F72EE"/>
    <w:pPr>
      <w:keepNext/>
      <w:spacing w:before="240" w:after="120"/>
    </w:pPr>
    <w:rPr>
      <w:rFonts w:ascii="Liberation Sans" w:eastAsia="Microsoft YaHei" w:hAnsi="Liberation Sans" w:cs="Lucida Sans"/>
      <w:sz w:val="28"/>
      <w:szCs w:val="28"/>
    </w:rPr>
  </w:style>
  <w:style w:type="paragraph" w:customStyle="1" w:styleId="Titre4">
    <w:name w:val="Titre4"/>
    <w:basedOn w:val="Normal"/>
    <w:next w:val="Corpsdetexte"/>
    <w:rsid w:val="007F72EE"/>
    <w:pPr>
      <w:keepNext/>
      <w:spacing w:before="240" w:after="120"/>
    </w:pPr>
    <w:rPr>
      <w:rFonts w:ascii="Liberation Sans" w:eastAsia="Microsoft YaHei" w:hAnsi="Liberation Sans" w:cs="Lucida Sans"/>
      <w:sz w:val="28"/>
      <w:szCs w:val="28"/>
    </w:rPr>
  </w:style>
  <w:style w:type="paragraph" w:customStyle="1" w:styleId="Titre3">
    <w:name w:val="Titre3"/>
    <w:basedOn w:val="Normal"/>
    <w:next w:val="Corpsdetexte"/>
    <w:rsid w:val="007F72EE"/>
    <w:pPr>
      <w:keepNext/>
      <w:spacing w:before="240" w:after="120"/>
    </w:pPr>
    <w:rPr>
      <w:rFonts w:ascii="Liberation Sans" w:eastAsia="Microsoft YaHei" w:hAnsi="Liberation Sans" w:cs="Lucida Sans"/>
      <w:sz w:val="28"/>
      <w:szCs w:val="28"/>
    </w:rPr>
  </w:style>
  <w:style w:type="paragraph" w:customStyle="1" w:styleId="Titre2">
    <w:name w:val="Titre2"/>
    <w:basedOn w:val="Normal"/>
    <w:next w:val="Corpsdetexte"/>
    <w:rsid w:val="007F72EE"/>
    <w:pPr>
      <w:keepNext/>
      <w:spacing w:before="240" w:after="120"/>
    </w:pPr>
    <w:rPr>
      <w:rFonts w:ascii="Liberation Sans" w:eastAsia="Microsoft YaHei" w:hAnsi="Liberation Sans" w:cs="Lucida Sans"/>
      <w:sz w:val="28"/>
      <w:szCs w:val="28"/>
    </w:rPr>
  </w:style>
  <w:style w:type="paragraph" w:customStyle="1" w:styleId="Titre10">
    <w:name w:val="Titre1"/>
    <w:basedOn w:val="Normal"/>
    <w:next w:val="Corpsdetexte"/>
    <w:rsid w:val="007F72EE"/>
    <w:pPr>
      <w:keepNext/>
      <w:spacing w:before="240" w:after="120"/>
    </w:pPr>
    <w:rPr>
      <w:rFonts w:ascii="Liberation Sans" w:eastAsia="Microsoft YaHei" w:hAnsi="Liberation Sans" w:cs="Mangal"/>
      <w:sz w:val="28"/>
      <w:szCs w:val="28"/>
    </w:rPr>
  </w:style>
  <w:style w:type="paragraph" w:customStyle="1" w:styleId="Corpsdetexte11pt">
    <w:name w:val="Corps de texte + 11 pt"/>
    <w:basedOn w:val="Corpsdetexte"/>
    <w:rsid w:val="007F72EE"/>
    <w:pPr>
      <w:jc w:val="both"/>
    </w:pPr>
    <w:rPr>
      <w:color w:val="000000"/>
      <w:sz w:val="22"/>
      <w:szCs w:val="22"/>
    </w:rPr>
  </w:style>
  <w:style w:type="paragraph" w:customStyle="1" w:styleId="Textedebulles1">
    <w:name w:val="Texte de bulles1"/>
    <w:basedOn w:val="Normal"/>
    <w:rsid w:val="007F72EE"/>
    <w:rPr>
      <w:rFonts w:ascii="Segoe UI" w:hAnsi="Segoe UI" w:cs="Segoe UI"/>
      <w:sz w:val="18"/>
      <w:szCs w:val="18"/>
    </w:rPr>
  </w:style>
  <w:style w:type="paragraph" w:styleId="Notedebasdepage">
    <w:name w:val="footnote text"/>
    <w:basedOn w:val="Normal"/>
    <w:link w:val="NotedebasdepageCar"/>
    <w:uiPriority w:val="99"/>
    <w:rsid w:val="007F72EE"/>
    <w:rPr>
      <w:sz w:val="20"/>
      <w:szCs w:val="20"/>
    </w:rPr>
  </w:style>
  <w:style w:type="paragraph" w:customStyle="1" w:styleId="western">
    <w:name w:val="western"/>
    <w:basedOn w:val="Normal"/>
    <w:rsid w:val="007F72EE"/>
    <w:pPr>
      <w:suppressAutoHyphens w:val="0"/>
      <w:spacing w:before="100" w:after="119"/>
    </w:pPr>
    <w:rPr>
      <w:color w:val="00000A"/>
    </w:rPr>
  </w:style>
  <w:style w:type="paragraph" w:styleId="En-tte">
    <w:name w:val="header"/>
    <w:basedOn w:val="Normal"/>
    <w:uiPriority w:val="99"/>
    <w:rsid w:val="007F72EE"/>
    <w:pPr>
      <w:tabs>
        <w:tab w:val="center" w:pos="4536"/>
        <w:tab w:val="right" w:pos="9072"/>
      </w:tabs>
    </w:pPr>
  </w:style>
  <w:style w:type="paragraph" w:styleId="Pieddepage">
    <w:name w:val="footer"/>
    <w:basedOn w:val="Normal"/>
    <w:rsid w:val="007F72EE"/>
    <w:pPr>
      <w:tabs>
        <w:tab w:val="center" w:pos="4536"/>
        <w:tab w:val="right" w:pos="9072"/>
      </w:tabs>
    </w:pPr>
  </w:style>
  <w:style w:type="paragraph" w:customStyle="1" w:styleId="Commentaire1">
    <w:name w:val="Commentaire1"/>
    <w:basedOn w:val="Normal"/>
    <w:rsid w:val="007F72EE"/>
    <w:rPr>
      <w:sz w:val="20"/>
      <w:szCs w:val="20"/>
    </w:rPr>
  </w:style>
  <w:style w:type="paragraph" w:customStyle="1" w:styleId="CommentSubject">
    <w:name w:val="Comment Subject"/>
    <w:basedOn w:val="Commentaire1"/>
    <w:next w:val="Commentaire1"/>
    <w:rsid w:val="007F72EE"/>
    <w:rPr>
      <w:b/>
      <w:bCs/>
    </w:rPr>
  </w:style>
  <w:style w:type="paragraph" w:customStyle="1" w:styleId="Contenudetableau">
    <w:name w:val="Contenu de tableau"/>
    <w:basedOn w:val="Normal"/>
    <w:rsid w:val="007F72EE"/>
    <w:pPr>
      <w:suppressLineNumbers/>
    </w:pPr>
  </w:style>
  <w:style w:type="paragraph" w:customStyle="1" w:styleId="Titredetableau">
    <w:name w:val="Titre de tableau"/>
    <w:basedOn w:val="Contenudetableau"/>
    <w:rsid w:val="007F72EE"/>
    <w:pPr>
      <w:jc w:val="center"/>
    </w:pPr>
    <w:rPr>
      <w:b/>
      <w:bCs/>
    </w:rPr>
  </w:style>
  <w:style w:type="paragraph" w:customStyle="1" w:styleId="Paragraphedeliste1">
    <w:name w:val="Paragraphe de liste1"/>
    <w:basedOn w:val="Normal"/>
    <w:rsid w:val="007F72EE"/>
    <w:pPr>
      <w:suppressAutoHyphens w:val="0"/>
      <w:spacing w:after="160" w:line="252" w:lineRule="auto"/>
      <w:ind w:left="720"/>
      <w:contextualSpacing/>
    </w:pPr>
    <w:rPr>
      <w:rFonts w:ascii="Calibri" w:hAnsi="Calibri" w:cs="Calibri"/>
      <w:sz w:val="22"/>
      <w:szCs w:val="22"/>
    </w:rPr>
  </w:style>
  <w:style w:type="paragraph" w:customStyle="1" w:styleId="DocumentMap">
    <w:name w:val="DocumentMap"/>
    <w:rsid w:val="007F72EE"/>
    <w:pPr>
      <w:suppressAutoHyphens/>
    </w:pPr>
    <w:rPr>
      <w:rFonts w:ascii="Calibri" w:eastAsia="Calibri" w:hAnsi="Calibri" w:cs="Calibri"/>
      <w:szCs w:val="22"/>
      <w:lang w:eastAsia="zh-CN"/>
    </w:rPr>
  </w:style>
  <w:style w:type="paragraph" w:styleId="Paragraphedeliste">
    <w:name w:val="List Paragraph"/>
    <w:basedOn w:val="Normal"/>
    <w:uiPriority w:val="34"/>
    <w:qFormat/>
    <w:rsid w:val="007F72EE"/>
    <w:pPr>
      <w:spacing w:line="276" w:lineRule="auto"/>
      <w:ind w:left="720"/>
      <w:contextualSpacing/>
      <w:jc w:val="both"/>
    </w:pPr>
    <w:rPr>
      <w:rFonts w:cs="Liberation Sans"/>
      <w:sz w:val="20"/>
    </w:rPr>
  </w:style>
  <w:style w:type="paragraph" w:customStyle="1" w:styleId="Commentaire2">
    <w:name w:val="Commentaire2"/>
    <w:basedOn w:val="Normal"/>
    <w:rsid w:val="007F72EE"/>
    <w:rPr>
      <w:sz w:val="20"/>
      <w:szCs w:val="20"/>
    </w:rPr>
  </w:style>
  <w:style w:type="paragraph" w:styleId="Objetducommentaire">
    <w:name w:val="annotation subject"/>
    <w:basedOn w:val="Commentaire2"/>
    <w:next w:val="Commentaire2"/>
    <w:rsid w:val="007F72EE"/>
    <w:rPr>
      <w:b/>
      <w:bCs/>
    </w:rPr>
  </w:style>
  <w:style w:type="paragraph" w:styleId="Textedebulles">
    <w:name w:val="Balloon Text"/>
    <w:basedOn w:val="Normal"/>
    <w:rsid w:val="007F72EE"/>
    <w:rPr>
      <w:rFonts w:ascii="Segoe UI" w:hAnsi="Segoe UI" w:cs="Segoe UI"/>
      <w:sz w:val="18"/>
      <w:szCs w:val="18"/>
    </w:rPr>
  </w:style>
  <w:style w:type="character" w:customStyle="1" w:styleId="NotedebasdepageCar">
    <w:name w:val="Note de bas de page Car"/>
    <w:basedOn w:val="Policepardfaut"/>
    <w:link w:val="Notedebasdepage"/>
    <w:uiPriority w:val="99"/>
    <w:rsid w:val="0026030D"/>
    <w:rPr>
      <w:lang w:eastAsia="zh-CN"/>
    </w:rPr>
  </w:style>
  <w:style w:type="character" w:styleId="Appelnotedebasdep">
    <w:name w:val="footnote reference"/>
    <w:basedOn w:val="Policepardfaut"/>
    <w:uiPriority w:val="99"/>
    <w:semiHidden/>
    <w:unhideWhenUsed/>
    <w:rsid w:val="0026030D"/>
    <w:rPr>
      <w:vertAlign w:val="superscript"/>
    </w:rPr>
  </w:style>
  <w:style w:type="paragraph" w:styleId="NormalWeb">
    <w:name w:val="Normal (Web)"/>
    <w:basedOn w:val="Normal"/>
    <w:uiPriority w:val="99"/>
    <w:semiHidden/>
    <w:unhideWhenUsed/>
    <w:rsid w:val="006B0789"/>
    <w:pPr>
      <w:suppressAutoHyphens w:val="0"/>
      <w:spacing w:before="100" w:beforeAutospacing="1" w:after="142" w:line="276" w:lineRule="auto"/>
    </w:pPr>
    <w:rPr>
      <w:lang w:eastAsia="fr-FR"/>
    </w:rPr>
  </w:style>
  <w:style w:type="paragraph" w:customStyle="1" w:styleId="Default">
    <w:name w:val="Default"/>
    <w:rsid w:val="000E0155"/>
    <w:pPr>
      <w:autoSpaceDE w:val="0"/>
      <w:autoSpaceDN w:val="0"/>
      <w:adjustRightInd w:val="0"/>
    </w:pPr>
    <w:rPr>
      <w:rFonts w:ascii="Calibri" w:hAnsi="Calibri" w:cs="Calibri"/>
      <w:color w:val="000000"/>
      <w:sz w:val="24"/>
      <w:szCs w:val="24"/>
    </w:rPr>
  </w:style>
  <w:style w:type="character" w:customStyle="1" w:styleId="Titre1Car">
    <w:name w:val="Titre 1 Car"/>
    <w:basedOn w:val="Policepardfaut"/>
    <w:link w:val="Titre1"/>
    <w:rsid w:val="00DE54D0"/>
    <w:rPr>
      <w:rFonts w:ascii="Calibri" w:eastAsia="MS Gothic" w:hAnsi="Calibri"/>
      <w:b/>
      <w:color w:val="00B0F0"/>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12943">
      <w:bodyDiv w:val="1"/>
      <w:marLeft w:val="0"/>
      <w:marRight w:val="0"/>
      <w:marTop w:val="0"/>
      <w:marBottom w:val="0"/>
      <w:divBdr>
        <w:top w:val="none" w:sz="0" w:space="0" w:color="auto"/>
        <w:left w:val="none" w:sz="0" w:space="0" w:color="auto"/>
        <w:bottom w:val="none" w:sz="0" w:space="0" w:color="auto"/>
        <w:right w:val="none" w:sz="0" w:space="0" w:color="auto"/>
      </w:divBdr>
    </w:div>
    <w:div w:id="16008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nedis.fr/presse/transition-ecologique-enedis-devoile-les-travaux-preparatoires-son-futur-plan-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4A524-2737-4FEC-8293-6E63986C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1347</Words>
  <Characters>7411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Rapport de présentation, pour le Conseil supérieur de l’énergie du 28 novembre 2017, du projet d’arrêté portant reconduction des programmes « Toits d’abord » et « SMEn »  dans le cadre du dispositif des certificats d'économies d'énergie</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présentation, pour le Conseil supérieur de l’énergie du 28 novembre 2017, du projet d’arrêté portant reconduction des programmes « Toits d’abord » et « SMEn »  dans le cadre du dispositif des certificats d'économies d'énergie</dc:title>
  <dc:creator>RENARD Claude</dc:creator>
  <cp:lastModifiedBy>RENARD Claude</cp:lastModifiedBy>
  <cp:revision>4</cp:revision>
  <cp:lastPrinted>1899-12-31T23:00:00Z</cp:lastPrinted>
  <dcterms:created xsi:type="dcterms:W3CDTF">2023-03-27T17:03:00Z</dcterms:created>
  <dcterms:modified xsi:type="dcterms:W3CDTF">2023-03-27T17:04:00Z</dcterms:modified>
</cp:coreProperties>
</file>