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7664" w14:textId="4EB26C29" w:rsidR="00492FE4" w:rsidRDefault="00492FE4" w:rsidP="00ED42AF">
      <w:pPr>
        <w:pStyle w:val="Paragraphedeliste"/>
        <w:numPr>
          <w:ilvl w:val="0"/>
          <w:numId w:val="1"/>
        </w:numPr>
        <w:spacing w:after="0"/>
        <w:ind w:left="360"/>
        <w:jc w:val="both"/>
      </w:pPr>
      <w:r w:rsidRPr="00B877FC">
        <w:t>Sur la feuille « 1. Population »</w:t>
      </w:r>
      <w:r>
        <w:t> :</w:t>
      </w:r>
      <w:r w:rsidRPr="00B877FC">
        <w:t xml:space="preserve"> à la ligne </w:t>
      </w:r>
      <w:r>
        <w:t>23, il est indiqué que la source est « Insee 2016 – Fécondité basse ».</w:t>
      </w:r>
      <w:r w:rsidRPr="00B877FC">
        <w:t xml:space="preserve"> </w:t>
      </w:r>
      <w:r>
        <w:t xml:space="preserve">N’y a-t-il pas de source plus récente ou s’agit-il d’une erreur dans l’intitulé (le dernier fichier Excel des hypothèses de cadrage du 2 avril 2022 disponible sous </w:t>
      </w:r>
      <w:proofErr w:type="spellStart"/>
      <w:r>
        <w:t>Resana</w:t>
      </w:r>
      <w:proofErr w:type="spellEnd"/>
      <w:r>
        <w:t xml:space="preserve"> indiquait que les séries seraient actualisées avec les projections de l’Insee de 2022) ?</w:t>
      </w:r>
    </w:p>
    <w:p w14:paraId="44E9B4B1" w14:textId="0BA132EF" w:rsidR="00492FE4" w:rsidRPr="00B877FC" w:rsidRDefault="00492FE4" w:rsidP="00ED42AF">
      <w:pPr>
        <w:pStyle w:val="Paragraphedeliste"/>
        <w:spacing w:after="0"/>
        <w:ind w:left="360"/>
        <w:jc w:val="both"/>
      </w:pPr>
    </w:p>
    <w:p w14:paraId="54C5C663" w14:textId="77777777" w:rsidR="00492FE4" w:rsidRPr="00D16886" w:rsidRDefault="00492FE4" w:rsidP="00ED42AF">
      <w:pPr>
        <w:pStyle w:val="Paragraphedeliste"/>
        <w:numPr>
          <w:ilvl w:val="0"/>
          <w:numId w:val="1"/>
        </w:numPr>
        <w:spacing w:after="0"/>
        <w:ind w:left="360"/>
        <w:jc w:val="both"/>
      </w:pPr>
      <w:r w:rsidRPr="00B877FC">
        <w:rPr>
          <w:rFonts w:eastAsia="Calibri"/>
        </w:rPr>
        <w:t>Sur la</w:t>
      </w:r>
      <w:r w:rsidRPr="00B877FC">
        <w:t xml:space="preserve"> feuille « Population active </w:t>
      </w:r>
      <w:r w:rsidRPr="00B877FC">
        <w:rPr>
          <w:rFonts w:eastAsia="Calibri"/>
        </w:rPr>
        <w:t>»</w:t>
      </w:r>
      <w:r>
        <w:rPr>
          <w:rFonts w:eastAsia="Calibri"/>
        </w:rPr>
        <w:t> :</w:t>
      </w:r>
    </w:p>
    <w:p w14:paraId="4258A6DF" w14:textId="700E7F0E" w:rsidR="00492FE4" w:rsidRPr="002472F0" w:rsidRDefault="00466E9A" w:rsidP="00ED42AF">
      <w:pPr>
        <w:pStyle w:val="Paragraphedeliste"/>
        <w:numPr>
          <w:ilvl w:val="0"/>
          <w:numId w:val="4"/>
        </w:numPr>
        <w:spacing w:after="0"/>
        <w:jc w:val="both"/>
      </w:pPr>
      <w:r>
        <w:rPr>
          <w:rFonts w:eastAsia="Calibri"/>
        </w:rPr>
        <w:t>Il serait plus pertinent d’utiliser</w:t>
      </w:r>
      <w:r w:rsidR="00492FE4" w:rsidRPr="00B877FC">
        <w:t xml:space="preserve"> les </w:t>
      </w:r>
      <w:r w:rsidR="00492FE4" w:rsidRPr="00D16886">
        <w:rPr>
          <w:rFonts w:eastAsia="Calibri"/>
          <w:b/>
        </w:rPr>
        <w:t>données de population active et d’emploi tertiaire sur la France métropolitaine,</w:t>
      </w:r>
      <w:r w:rsidR="00492FE4" w:rsidRPr="00B877FC">
        <w:rPr>
          <w:rFonts w:eastAsia="Calibri"/>
        </w:rPr>
        <w:t xml:space="preserve"> disponibles sur les sites de </w:t>
      </w:r>
      <w:hyperlink r:id="rId6" w:history="1">
        <w:r w:rsidR="00492FE4" w:rsidRPr="00492FE4">
          <w:rPr>
            <w:rStyle w:val="Lienhypertexte"/>
            <w:rFonts w:eastAsia="Calibri"/>
          </w:rPr>
          <w:t>l’Insee</w:t>
        </w:r>
      </w:hyperlink>
      <w:r w:rsidR="00492FE4" w:rsidRPr="00B877FC">
        <w:rPr>
          <w:rFonts w:eastAsia="Calibri"/>
        </w:rPr>
        <w:t xml:space="preserve"> ou </w:t>
      </w:r>
      <w:hyperlink r:id="rId7" w:history="1">
        <w:r w:rsidR="00492FE4" w:rsidRPr="00492FE4">
          <w:rPr>
            <w:rStyle w:val="Lienhypertexte"/>
            <w:rFonts w:eastAsia="Calibri"/>
          </w:rPr>
          <w:t>Eurostat</w:t>
        </w:r>
      </w:hyperlink>
      <w:r w:rsidR="00492FE4" w:rsidRPr="00B877FC">
        <w:rPr>
          <w:rFonts w:eastAsia="Calibri"/>
        </w:rPr>
        <w:t>, au lieu d’une approximation, dans les cellules U8 et U11</w:t>
      </w:r>
      <w:r>
        <w:rPr>
          <w:rFonts w:eastAsia="Calibri"/>
        </w:rPr>
        <w:t>.</w:t>
      </w:r>
    </w:p>
    <w:p w14:paraId="3BE39663" w14:textId="048B3306" w:rsidR="00492FE4" w:rsidRPr="00492FE4" w:rsidRDefault="00492FE4" w:rsidP="00ED42AF">
      <w:pPr>
        <w:pStyle w:val="Paragraphedeliste"/>
        <w:numPr>
          <w:ilvl w:val="0"/>
          <w:numId w:val="4"/>
        </w:numPr>
        <w:spacing w:after="0"/>
        <w:jc w:val="both"/>
      </w:pPr>
      <w:r w:rsidRPr="00D16886">
        <w:rPr>
          <w:rFonts w:eastAsia="Calibri"/>
          <w:b/>
          <w:bCs/>
        </w:rPr>
        <w:t>Les</w:t>
      </w:r>
      <w:r w:rsidRPr="00D16886">
        <w:rPr>
          <w:rFonts w:eastAsia="Calibri"/>
          <w:b/>
        </w:rPr>
        <w:t xml:space="preserve"> données d’emplois total et dans le tertiaire</w:t>
      </w:r>
      <w:r w:rsidRPr="00D16886">
        <w:rPr>
          <w:rFonts w:eastAsia="Calibri"/>
        </w:rPr>
        <w:t xml:space="preserve"> dans les cellules U7 et U10, issues des enquêtes emploi, </w:t>
      </w:r>
      <w:r>
        <w:rPr>
          <w:rFonts w:eastAsia="Calibri"/>
        </w:rPr>
        <w:t>ne</w:t>
      </w:r>
      <w:r w:rsidRPr="00D16886">
        <w:t xml:space="preserve"> sont </w:t>
      </w:r>
      <w:r w:rsidRPr="00D16886">
        <w:rPr>
          <w:rFonts w:eastAsia="Calibri"/>
        </w:rPr>
        <w:t xml:space="preserve">pas cohérentes avec les données des </w:t>
      </w:r>
      <w:hyperlink r:id="rId8" w:history="1">
        <w:r w:rsidRPr="00355204">
          <w:rPr>
            <w:rStyle w:val="Lienhypertexte"/>
            <w:rFonts w:eastAsia="Calibri"/>
          </w:rPr>
          <w:t>comptes nationaux</w:t>
        </w:r>
      </w:hyperlink>
      <w:r w:rsidRPr="00D16886">
        <w:rPr>
          <w:rFonts w:eastAsia="Calibri"/>
        </w:rPr>
        <w:t>, utilisées par ailleurs pour calculer les valeurs ajoutées par branche (dans la feuille « PIB Branches ») et l’emploi tertiaire (aux lignes 15 et 16)</w:t>
      </w:r>
    </w:p>
    <w:p w14:paraId="29094BE8" w14:textId="49CE341A" w:rsidR="005E0CA5" w:rsidRPr="00355204" w:rsidRDefault="00492FE4" w:rsidP="00ED42AF">
      <w:pPr>
        <w:pStyle w:val="Paragraphedeliste"/>
        <w:numPr>
          <w:ilvl w:val="0"/>
          <w:numId w:val="4"/>
        </w:numPr>
        <w:spacing w:after="0"/>
        <w:jc w:val="both"/>
      </w:pPr>
      <w:r w:rsidRPr="00492FE4">
        <w:rPr>
          <w:rFonts w:eastAsia="Calibri"/>
          <w:b/>
          <w:bCs/>
        </w:rPr>
        <w:t>L’emploi</w:t>
      </w:r>
      <w:r w:rsidRPr="00492FE4">
        <w:rPr>
          <w:rFonts w:eastAsia="Calibri"/>
          <w:b/>
        </w:rPr>
        <w:t xml:space="preserve"> tertiaire pour 2020</w:t>
      </w:r>
      <w:r w:rsidRPr="00492FE4">
        <w:rPr>
          <w:rFonts w:eastAsia="Calibri"/>
        </w:rPr>
        <w:t>, actuellement calculé, pourrait être remplacé par les données de l’Insee (à partir des comptes nationaux)</w:t>
      </w:r>
      <w:r w:rsidR="00355204">
        <w:rPr>
          <w:rFonts w:eastAsia="Calibri"/>
        </w:rPr>
        <w:t>.</w:t>
      </w:r>
    </w:p>
    <w:p w14:paraId="06B1B738" w14:textId="77777777" w:rsidR="00355204" w:rsidRPr="00355204" w:rsidRDefault="00355204" w:rsidP="00ED42AF">
      <w:pPr>
        <w:spacing w:after="0"/>
        <w:jc w:val="both"/>
      </w:pPr>
    </w:p>
    <w:p w14:paraId="382E2B72" w14:textId="391AE985" w:rsidR="00355204" w:rsidRPr="0048025A" w:rsidRDefault="00355204" w:rsidP="00ED42AF">
      <w:pPr>
        <w:pStyle w:val="Paragraphedeliste"/>
        <w:numPr>
          <w:ilvl w:val="0"/>
          <w:numId w:val="5"/>
        </w:numPr>
        <w:spacing w:after="0"/>
        <w:jc w:val="both"/>
      </w:pPr>
      <w:r w:rsidRPr="00466E9A">
        <w:rPr>
          <w:rFonts w:eastAsia="Calibri"/>
        </w:rPr>
        <w:t>Sur la feuille « 2. PIB », dans le tableau de synthèse « Cadrage proposé pour l’AME et l’AMS 2023</w:t>
      </w:r>
      <w:r w:rsidR="008D7E8E">
        <w:rPr>
          <w:rFonts w:eastAsia="Calibri"/>
        </w:rPr>
        <w:t> </w:t>
      </w:r>
      <w:r w:rsidRPr="00466E9A">
        <w:rPr>
          <w:rFonts w:eastAsia="Calibri"/>
        </w:rPr>
        <w:t xml:space="preserve">», l’utilisation du seul taux de croissance à la fin de la période de 5 ans n’est pas correcte et tend à sous-estimer la croissance du PIB </w:t>
      </w:r>
      <w:r w:rsidR="0048025A" w:rsidRPr="00466E9A">
        <w:rPr>
          <w:rFonts w:eastAsia="Calibri"/>
        </w:rPr>
        <w:t>en neutralisant</w:t>
      </w:r>
      <w:r w:rsidRPr="00466E9A">
        <w:rPr>
          <w:rFonts w:eastAsia="Calibri"/>
        </w:rPr>
        <w:t xml:space="preserve"> notamment le rebond de l’économie en 2021 et 2022.</w:t>
      </w:r>
      <w:r w:rsidR="0048025A" w:rsidRPr="00466E9A">
        <w:rPr>
          <w:rFonts w:eastAsia="Calibri"/>
        </w:rPr>
        <w:t xml:space="preserve"> Il n’est par ailleurs pas possible de reconstituer la chronique de PIB.</w:t>
      </w:r>
      <w:r w:rsidRPr="00466E9A">
        <w:rPr>
          <w:rFonts w:eastAsia="Calibri"/>
        </w:rPr>
        <w:t xml:space="preserve"> Il convient</w:t>
      </w:r>
      <w:r w:rsidR="0048025A" w:rsidRPr="00466E9A">
        <w:rPr>
          <w:rFonts w:eastAsia="Calibri"/>
        </w:rPr>
        <w:t xml:space="preserve"> plutôt</w:t>
      </w:r>
      <w:r w:rsidRPr="00466E9A">
        <w:rPr>
          <w:rFonts w:eastAsia="Calibri"/>
        </w:rPr>
        <w:t xml:space="preserve"> de calculer le taux de croissance moyen sur la période considérée à partir des indices de PIB (plutôt que d’utiliser directement le seul taux de croissance en fin de période de 5 ans). Cela aura entre autres pour effet de remonter largement la croissance du pas 2025 (et les autres mais plus faiblement) et de coller au mieux à la réalité</w:t>
      </w:r>
      <w:r w:rsidR="0048025A" w:rsidRPr="00466E9A">
        <w:rPr>
          <w:rFonts w:eastAsia="Calibri"/>
        </w:rPr>
        <w:t xml:space="preserve"> (voir tableau ci-dessous)</w:t>
      </w:r>
      <w:r w:rsidRPr="00466E9A">
        <w:rPr>
          <w:rFonts w:eastAsia="Calibri"/>
        </w:rPr>
        <w:t>.</w:t>
      </w:r>
    </w:p>
    <w:p w14:paraId="62A74BB5" w14:textId="3C787BE8" w:rsidR="0048025A" w:rsidRDefault="0048025A" w:rsidP="00ED42AF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32"/>
        <w:gridCol w:w="702"/>
        <w:gridCol w:w="716"/>
        <w:gridCol w:w="702"/>
        <w:gridCol w:w="702"/>
        <w:gridCol w:w="702"/>
        <w:gridCol w:w="702"/>
        <w:gridCol w:w="702"/>
        <w:gridCol w:w="702"/>
      </w:tblGrid>
      <w:tr w:rsidR="0048025A" w:rsidRPr="0048025A" w14:paraId="5B487E7E" w14:textId="77777777" w:rsidTr="0048025A">
        <w:trPr>
          <w:trHeight w:val="300"/>
        </w:trPr>
        <w:tc>
          <w:tcPr>
            <w:tcW w:w="11640" w:type="dxa"/>
            <w:gridSpan w:val="9"/>
            <w:noWrap/>
            <w:hideMark/>
          </w:tcPr>
          <w:p w14:paraId="669ACA1C" w14:textId="77777777" w:rsidR="0048025A" w:rsidRPr="0048025A" w:rsidRDefault="0048025A" w:rsidP="00ED42AF">
            <w:pPr>
              <w:jc w:val="both"/>
              <w:rPr>
                <w:b/>
                <w:bCs/>
              </w:rPr>
            </w:pPr>
            <w:r w:rsidRPr="0048025A">
              <w:rPr>
                <w:b/>
                <w:bCs/>
              </w:rPr>
              <w:t>Cadrage proposé pour l'AME et AMS 2023</w:t>
            </w:r>
          </w:p>
        </w:tc>
      </w:tr>
      <w:tr w:rsidR="0048025A" w:rsidRPr="0048025A" w14:paraId="34ADC092" w14:textId="77777777" w:rsidTr="0048025A">
        <w:trPr>
          <w:trHeight w:val="300"/>
        </w:trPr>
        <w:tc>
          <w:tcPr>
            <w:tcW w:w="4597" w:type="dxa"/>
            <w:noWrap/>
            <w:hideMark/>
          </w:tcPr>
          <w:p w14:paraId="07299E50" w14:textId="77777777" w:rsidR="0048025A" w:rsidRPr="0048025A" w:rsidRDefault="0048025A" w:rsidP="00ED42AF">
            <w:pPr>
              <w:jc w:val="both"/>
            </w:pPr>
            <w:r w:rsidRPr="0048025A">
              <w:t>%</w:t>
            </w:r>
          </w:p>
        </w:tc>
        <w:tc>
          <w:tcPr>
            <w:tcW w:w="878" w:type="dxa"/>
            <w:noWrap/>
            <w:hideMark/>
          </w:tcPr>
          <w:p w14:paraId="62AB242C" w14:textId="77777777" w:rsidR="0048025A" w:rsidRPr="0048025A" w:rsidRDefault="0048025A" w:rsidP="00ED42AF">
            <w:pPr>
              <w:jc w:val="both"/>
            </w:pPr>
            <w:r w:rsidRPr="0048025A">
              <w:t>2019</w:t>
            </w:r>
          </w:p>
        </w:tc>
        <w:tc>
          <w:tcPr>
            <w:tcW w:w="897" w:type="dxa"/>
            <w:noWrap/>
            <w:hideMark/>
          </w:tcPr>
          <w:p w14:paraId="5A97A644" w14:textId="77777777" w:rsidR="0048025A" w:rsidRPr="0048025A" w:rsidRDefault="0048025A" w:rsidP="00ED42AF">
            <w:pPr>
              <w:jc w:val="both"/>
            </w:pPr>
            <w:r w:rsidRPr="0048025A">
              <w:t>2020</w:t>
            </w:r>
          </w:p>
        </w:tc>
        <w:tc>
          <w:tcPr>
            <w:tcW w:w="878" w:type="dxa"/>
            <w:noWrap/>
            <w:hideMark/>
          </w:tcPr>
          <w:p w14:paraId="06D26954" w14:textId="77777777" w:rsidR="0048025A" w:rsidRPr="0048025A" w:rsidRDefault="0048025A" w:rsidP="00ED42AF">
            <w:pPr>
              <w:jc w:val="both"/>
            </w:pPr>
            <w:r w:rsidRPr="0048025A">
              <w:t>2025</w:t>
            </w:r>
          </w:p>
        </w:tc>
        <w:tc>
          <w:tcPr>
            <w:tcW w:w="878" w:type="dxa"/>
            <w:noWrap/>
            <w:hideMark/>
          </w:tcPr>
          <w:p w14:paraId="511F8133" w14:textId="77777777" w:rsidR="0048025A" w:rsidRPr="0048025A" w:rsidRDefault="0048025A" w:rsidP="00ED42AF">
            <w:pPr>
              <w:jc w:val="both"/>
            </w:pPr>
            <w:r w:rsidRPr="0048025A">
              <w:t>2030</w:t>
            </w:r>
          </w:p>
        </w:tc>
        <w:tc>
          <w:tcPr>
            <w:tcW w:w="878" w:type="dxa"/>
            <w:noWrap/>
            <w:hideMark/>
          </w:tcPr>
          <w:p w14:paraId="40AC5885" w14:textId="77777777" w:rsidR="0048025A" w:rsidRPr="0048025A" w:rsidRDefault="0048025A" w:rsidP="00ED42AF">
            <w:pPr>
              <w:jc w:val="both"/>
            </w:pPr>
            <w:r w:rsidRPr="0048025A">
              <w:t>2035</w:t>
            </w:r>
          </w:p>
        </w:tc>
        <w:tc>
          <w:tcPr>
            <w:tcW w:w="878" w:type="dxa"/>
            <w:noWrap/>
            <w:hideMark/>
          </w:tcPr>
          <w:p w14:paraId="2ECCBBBC" w14:textId="77777777" w:rsidR="0048025A" w:rsidRPr="0048025A" w:rsidRDefault="0048025A" w:rsidP="00ED42AF">
            <w:pPr>
              <w:jc w:val="both"/>
            </w:pPr>
            <w:r w:rsidRPr="0048025A">
              <w:t>2040</w:t>
            </w:r>
          </w:p>
        </w:tc>
        <w:tc>
          <w:tcPr>
            <w:tcW w:w="878" w:type="dxa"/>
            <w:noWrap/>
            <w:hideMark/>
          </w:tcPr>
          <w:p w14:paraId="7F4AF7D4" w14:textId="77777777" w:rsidR="0048025A" w:rsidRPr="0048025A" w:rsidRDefault="0048025A" w:rsidP="00ED42AF">
            <w:pPr>
              <w:jc w:val="both"/>
            </w:pPr>
            <w:r w:rsidRPr="0048025A">
              <w:t>2045</w:t>
            </w:r>
          </w:p>
        </w:tc>
        <w:tc>
          <w:tcPr>
            <w:tcW w:w="878" w:type="dxa"/>
            <w:noWrap/>
            <w:hideMark/>
          </w:tcPr>
          <w:p w14:paraId="7A128CBA" w14:textId="77777777" w:rsidR="0048025A" w:rsidRPr="0048025A" w:rsidRDefault="0048025A" w:rsidP="00ED42AF">
            <w:pPr>
              <w:jc w:val="both"/>
            </w:pPr>
            <w:r w:rsidRPr="0048025A">
              <w:t>2050</w:t>
            </w:r>
          </w:p>
        </w:tc>
      </w:tr>
      <w:tr w:rsidR="0048025A" w:rsidRPr="0048025A" w14:paraId="54790E12" w14:textId="77777777" w:rsidTr="0048025A">
        <w:trPr>
          <w:trHeight w:val="300"/>
        </w:trPr>
        <w:tc>
          <w:tcPr>
            <w:tcW w:w="4597" w:type="dxa"/>
            <w:noWrap/>
            <w:hideMark/>
          </w:tcPr>
          <w:p w14:paraId="08C16467" w14:textId="4BB7E07E" w:rsidR="0048025A" w:rsidRPr="0048025A" w:rsidRDefault="0048025A" w:rsidP="00ED42AF">
            <w:pPr>
              <w:jc w:val="both"/>
            </w:pPr>
            <w:r w:rsidRPr="0048025A">
              <w:t>Croissance PIB</w:t>
            </w:r>
            <w:r>
              <w:t xml:space="preserve"> (série actuelle)</w:t>
            </w:r>
          </w:p>
        </w:tc>
        <w:tc>
          <w:tcPr>
            <w:tcW w:w="878" w:type="dxa"/>
            <w:noWrap/>
            <w:hideMark/>
          </w:tcPr>
          <w:p w14:paraId="7E358234" w14:textId="77777777" w:rsidR="0048025A" w:rsidRPr="0048025A" w:rsidRDefault="0048025A" w:rsidP="00ED42AF">
            <w:pPr>
              <w:jc w:val="both"/>
            </w:pPr>
            <w:r w:rsidRPr="0048025A">
              <w:t>1,80</w:t>
            </w:r>
          </w:p>
        </w:tc>
        <w:tc>
          <w:tcPr>
            <w:tcW w:w="897" w:type="dxa"/>
            <w:noWrap/>
            <w:hideMark/>
          </w:tcPr>
          <w:p w14:paraId="65D10D55" w14:textId="77777777" w:rsidR="0048025A" w:rsidRPr="0048025A" w:rsidRDefault="0048025A" w:rsidP="00ED42AF">
            <w:pPr>
              <w:jc w:val="both"/>
            </w:pPr>
            <w:r w:rsidRPr="0048025A">
              <w:t>-8,00</w:t>
            </w:r>
          </w:p>
        </w:tc>
        <w:tc>
          <w:tcPr>
            <w:tcW w:w="878" w:type="dxa"/>
            <w:noWrap/>
            <w:hideMark/>
          </w:tcPr>
          <w:p w14:paraId="1FF96D3E" w14:textId="77777777" w:rsidR="0048025A" w:rsidRPr="0048025A" w:rsidRDefault="0048025A" w:rsidP="00ED42AF">
            <w:pPr>
              <w:jc w:val="both"/>
            </w:pPr>
            <w:r w:rsidRPr="0048025A">
              <w:t>0,87</w:t>
            </w:r>
          </w:p>
        </w:tc>
        <w:tc>
          <w:tcPr>
            <w:tcW w:w="878" w:type="dxa"/>
            <w:noWrap/>
            <w:hideMark/>
          </w:tcPr>
          <w:p w14:paraId="3EE0A490" w14:textId="77777777" w:rsidR="0048025A" w:rsidRPr="0048025A" w:rsidRDefault="0048025A" w:rsidP="00ED42AF">
            <w:pPr>
              <w:jc w:val="both"/>
            </w:pPr>
            <w:r w:rsidRPr="0048025A">
              <w:t>0,98</w:t>
            </w:r>
          </w:p>
        </w:tc>
        <w:tc>
          <w:tcPr>
            <w:tcW w:w="878" w:type="dxa"/>
            <w:noWrap/>
            <w:hideMark/>
          </w:tcPr>
          <w:p w14:paraId="4B15F543" w14:textId="77777777" w:rsidR="0048025A" w:rsidRPr="0048025A" w:rsidRDefault="0048025A" w:rsidP="00ED42AF">
            <w:pPr>
              <w:jc w:val="both"/>
            </w:pPr>
            <w:r w:rsidRPr="0048025A">
              <w:t>1,25</w:t>
            </w:r>
          </w:p>
        </w:tc>
        <w:tc>
          <w:tcPr>
            <w:tcW w:w="878" w:type="dxa"/>
            <w:noWrap/>
            <w:hideMark/>
          </w:tcPr>
          <w:p w14:paraId="246EFA16" w14:textId="77777777" w:rsidR="0048025A" w:rsidRPr="0048025A" w:rsidRDefault="0048025A" w:rsidP="00ED42AF">
            <w:pPr>
              <w:jc w:val="both"/>
            </w:pPr>
            <w:r w:rsidRPr="0048025A">
              <w:t>1,54</w:t>
            </w:r>
          </w:p>
        </w:tc>
        <w:tc>
          <w:tcPr>
            <w:tcW w:w="878" w:type="dxa"/>
            <w:noWrap/>
            <w:hideMark/>
          </w:tcPr>
          <w:p w14:paraId="507CE34D" w14:textId="77777777" w:rsidR="0048025A" w:rsidRPr="0048025A" w:rsidRDefault="0048025A" w:rsidP="00ED42AF">
            <w:pPr>
              <w:jc w:val="both"/>
            </w:pPr>
            <w:r w:rsidRPr="0048025A">
              <w:t>1,50</w:t>
            </w:r>
          </w:p>
        </w:tc>
        <w:tc>
          <w:tcPr>
            <w:tcW w:w="878" w:type="dxa"/>
            <w:noWrap/>
            <w:hideMark/>
          </w:tcPr>
          <w:p w14:paraId="6228DB7C" w14:textId="77777777" w:rsidR="0048025A" w:rsidRPr="0048025A" w:rsidRDefault="0048025A" w:rsidP="00ED42AF">
            <w:pPr>
              <w:jc w:val="both"/>
            </w:pPr>
            <w:r w:rsidRPr="0048025A">
              <w:t>1,45</w:t>
            </w:r>
          </w:p>
        </w:tc>
      </w:tr>
      <w:tr w:rsidR="0048025A" w:rsidRPr="0048025A" w14:paraId="725CFF6A" w14:textId="77777777" w:rsidTr="0048025A">
        <w:trPr>
          <w:trHeight w:val="315"/>
        </w:trPr>
        <w:tc>
          <w:tcPr>
            <w:tcW w:w="4597" w:type="dxa"/>
            <w:noWrap/>
            <w:hideMark/>
          </w:tcPr>
          <w:p w14:paraId="431DA334" w14:textId="77777777" w:rsidR="0048025A" w:rsidRPr="0048025A" w:rsidRDefault="0048025A" w:rsidP="00ED42AF">
            <w:pPr>
              <w:jc w:val="both"/>
            </w:pPr>
            <w:r w:rsidRPr="0048025A">
              <w:t>Croissance moyenne du PIB</w:t>
            </w:r>
          </w:p>
        </w:tc>
        <w:tc>
          <w:tcPr>
            <w:tcW w:w="878" w:type="dxa"/>
            <w:noWrap/>
            <w:hideMark/>
          </w:tcPr>
          <w:p w14:paraId="630AD37C" w14:textId="77777777" w:rsidR="0048025A" w:rsidRPr="0048025A" w:rsidRDefault="0048025A" w:rsidP="00ED42AF">
            <w:pPr>
              <w:jc w:val="both"/>
            </w:pPr>
            <w:r w:rsidRPr="0048025A">
              <w:t>1,80</w:t>
            </w:r>
          </w:p>
        </w:tc>
        <w:tc>
          <w:tcPr>
            <w:tcW w:w="897" w:type="dxa"/>
            <w:noWrap/>
            <w:hideMark/>
          </w:tcPr>
          <w:p w14:paraId="316034D5" w14:textId="77777777" w:rsidR="0048025A" w:rsidRPr="0048025A" w:rsidRDefault="0048025A" w:rsidP="00ED42AF">
            <w:pPr>
              <w:jc w:val="both"/>
            </w:pPr>
            <w:r w:rsidRPr="0048025A">
              <w:t>-8,00</w:t>
            </w:r>
          </w:p>
        </w:tc>
        <w:tc>
          <w:tcPr>
            <w:tcW w:w="878" w:type="dxa"/>
            <w:noWrap/>
            <w:hideMark/>
          </w:tcPr>
          <w:p w14:paraId="52D7A1B9" w14:textId="77777777" w:rsidR="0048025A" w:rsidRPr="0048025A" w:rsidRDefault="0048025A" w:rsidP="00ED42AF">
            <w:pPr>
              <w:jc w:val="both"/>
            </w:pPr>
            <w:r w:rsidRPr="0048025A">
              <w:t>2,77</w:t>
            </w:r>
          </w:p>
        </w:tc>
        <w:tc>
          <w:tcPr>
            <w:tcW w:w="878" w:type="dxa"/>
            <w:noWrap/>
            <w:hideMark/>
          </w:tcPr>
          <w:p w14:paraId="356427F3" w14:textId="77777777" w:rsidR="0048025A" w:rsidRPr="0048025A" w:rsidRDefault="0048025A" w:rsidP="00ED42AF">
            <w:pPr>
              <w:jc w:val="both"/>
            </w:pPr>
            <w:r w:rsidRPr="0048025A">
              <w:t>0,95</w:t>
            </w:r>
          </w:p>
        </w:tc>
        <w:tc>
          <w:tcPr>
            <w:tcW w:w="878" w:type="dxa"/>
            <w:noWrap/>
            <w:hideMark/>
          </w:tcPr>
          <w:p w14:paraId="5E5D64C6" w14:textId="77777777" w:rsidR="0048025A" w:rsidRPr="0048025A" w:rsidRDefault="0048025A" w:rsidP="00ED42AF">
            <w:pPr>
              <w:jc w:val="both"/>
            </w:pPr>
            <w:r w:rsidRPr="0048025A">
              <w:t>1,12</w:t>
            </w:r>
          </w:p>
        </w:tc>
        <w:tc>
          <w:tcPr>
            <w:tcW w:w="878" w:type="dxa"/>
            <w:noWrap/>
            <w:hideMark/>
          </w:tcPr>
          <w:p w14:paraId="3FEFF56B" w14:textId="77777777" w:rsidR="0048025A" w:rsidRPr="0048025A" w:rsidRDefault="0048025A" w:rsidP="00ED42AF">
            <w:pPr>
              <w:jc w:val="both"/>
            </w:pPr>
            <w:r w:rsidRPr="0048025A">
              <w:t>1,47</w:t>
            </w:r>
          </w:p>
        </w:tc>
        <w:tc>
          <w:tcPr>
            <w:tcW w:w="878" w:type="dxa"/>
            <w:noWrap/>
            <w:hideMark/>
          </w:tcPr>
          <w:p w14:paraId="73A6DC84" w14:textId="77777777" w:rsidR="0048025A" w:rsidRPr="0048025A" w:rsidRDefault="0048025A" w:rsidP="00ED42AF">
            <w:pPr>
              <w:jc w:val="both"/>
            </w:pPr>
            <w:r w:rsidRPr="0048025A">
              <w:t>1,55</w:t>
            </w:r>
          </w:p>
        </w:tc>
        <w:tc>
          <w:tcPr>
            <w:tcW w:w="878" w:type="dxa"/>
            <w:noWrap/>
            <w:hideMark/>
          </w:tcPr>
          <w:p w14:paraId="63669B34" w14:textId="77777777" w:rsidR="0048025A" w:rsidRPr="0048025A" w:rsidRDefault="0048025A" w:rsidP="00ED42AF">
            <w:pPr>
              <w:jc w:val="both"/>
            </w:pPr>
            <w:r w:rsidRPr="0048025A">
              <w:t>1,46</w:t>
            </w:r>
          </w:p>
        </w:tc>
      </w:tr>
    </w:tbl>
    <w:p w14:paraId="753641F4" w14:textId="682C3131" w:rsidR="0048025A" w:rsidRDefault="0048025A" w:rsidP="00ED42AF">
      <w:pPr>
        <w:spacing w:after="0"/>
        <w:jc w:val="both"/>
      </w:pPr>
    </w:p>
    <w:p w14:paraId="1B772FBC" w14:textId="77777777" w:rsidR="0048025A" w:rsidRDefault="0048025A" w:rsidP="00ED42AF">
      <w:pPr>
        <w:pStyle w:val="Paragraphedeliste"/>
        <w:numPr>
          <w:ilvl w:val="0"/>
          <w:numId w:val="2"/>
        </w:numPr>
        <w:spacing w:after="0"/>
        <w:ind w:left="360"/>
        <w:jc w:val="both"/>
      </w:pPr>
      <w:r>
        <w:t xml:space="preserve">Sur </w:t>
      </w:r>
      <w:r w:rsidRPr="00C30E8D">
        <w:rPr>
          <w:rFonts w:eastAsia="Calibri"/>
        </w:rPr>
        <w:t>la feuille « PIB branche </w:t>
      </w:r>
      <w:r w:rsidRPr="00C30E8D">
        <w:t>»</w:t>
      </w:r>
      <w:r>
        <w:t> :</w:t>
      </w:r>
    </w:p>
    <w:p w14:paraId="02680277" w14:textId="5E597984" w:rsidR="0048025A" w:rsidRDefault="00466E9A" w:rsidP="00ED42AF">
      <w:pPr>
        <w:pStyle w:val="Paragraphedeliste"/>
        <w:numPr>
          <w:ilvl w:val="0"/>
          <w:numId w:val="3"/>
        </w:numPr>
        <w:spacing w:after="0"/>
        <w:jc w:val="both"/>
      </w:pPr>
      <w:r>
        <w:t>P</w:t>
      </w:r>
      <w:r w:rsidRPr="00D16886">
        <w:t xml:space="preserve">ar rapport aux calculs pour les tableaux « 2. AME 2023 » et « 3. AMS 2023 </w:t>
      </w:r>
      <w:r w:rsidRPr="00466E9A">
        <w:rPr>
          <w:rFonts w:eastAsia="Calibri"/>
        </w:rPr>
        <w:t>»</w:t>
      </w:r>
      <w:r w:rsidRPr="00D16886">
        <w:t xml:space="preserve">, </w:t>
      </w:r>
      <w:r>
        <w:rPr>
          <w:b/>
        </w:rPr>
        <w:t>il n’est pas cohérent</w:t>
      </w:r>
      <w:r w:rsidRPr="00466E9A">
        <w:rPr>
          <w:b/>
        </w:rPr>
        <w:t xml:space="preserve"> </w:t>
      </w:r>
      <w:r>
        <w:rPr>
          <w:b/>
        </w:rPr>
        <w:t>d’</w:t>
      </w:r>
      <w:r w:rsidRPr="00466E9A">
        <w:rPr>
          <w:b/>
        </w:rPr>
        <w:t>utilis</w:t>
      </w:r>
      <w:r>
        <w:rPr>
          <w:b/>
        </w:rPr>
        <w:t>er</w:t>
      </w:r>
      <w:r w:rsidRPr="00466E9A">
        <w:rPr>
          <w:b/>
        </w:rPr>
        <w:t xml:space="preserve"> les données en prix courants issues des comptes nationaux de l’Insee sur la période 2018-2020</w:t>
      </w:r>
      <w:r w:rsidRPr="00D16886">
        <w:t>, mais les données</w:t>
      </w:r>
      <w:r>
        <w:t xml:space="preserve"> de PIB</w:t>
      </w:r>
      <w:r w:rsidRPr="00D16886">
        <w:t xml:space="preserve"> en prévision issues de la Commission européenne, qui sont en prix constants, au-delà </w:t>
      </w:r>
      <w:r w:rsidRPr="00466E9A">
        <w:rPr>
          <w:rFonts w:eastAsia="Calibri"/>
        </w:rPr>
        <w:t>(d’autant que la propriété d’additivité, c’est-à-dire que la valeur ajoutée totale n’est pas égale à la somme des valeurs ajoutées sectorielles, n’est pas respectée)</w:t>
      </w:r>
      <w:r>
        <w:rPr>
          <w:rFonts w:eastAsia="Calibri"/>
        </w:rPr>
        <w:t xml:space="preserve">. Il faut soit partir des </w:t>
      </w:r>
      <w:hyperlink r:id="rId9" w:history="1">
        <w:r w:rsidRPr="00466E9A">
          <w:rPr>
            <w:rStyle w:val="Lienhypertexte"/>
            <w:rFonts w:eastAsia="Calibri"/>
          </w:rPr>
          <w:t>données historiques</w:t>
        </w:r>
      </w:hyperlink>
      <w:r>
        <w:rPr>
          <w:rFonts w:eastAsia="Calibri"/>
        </w:rPr>
        <w:t xml:space="preserve"> en prix constants, soit utiliser les prévisions de la Commission européenne en prix courants (si elles sont disponibles).</w:t>
      </w:r>
      <w:r w:rsidRPr="00D16886">
        <w:t xml:space="preserve"> </w:t>
      </w:r>
      <w:r>
        <w:t>De plus, il vaudrait mieux</w:t>
      </w:r>
      <w:r w:rsidRPr="00D16886">
        <w:t xml:space="preserve"> utiliser directement les taux de croissance du PIB en projection plutôt que de faire des rapports d’indices pour calculer </w:t>
      </w:r>
      <w:r w:rsidRPr="00466E9A">
        <w:rPr>
          <w:rFonts w:eastAsia="Calibri"/>
        </w:rPr>
        <w:t>la</w:t>
      </w:r>
      <w:r w:rsidRPr="00D16886">
        <w:t xml:space="preserve"> VA </w:t>
      </w:r>
      <w:r w:rsidRPr="00466E9A">
        <w:rPr>
          <w:rFonts w:eastAsia="Calibri"/>
        </w:rPr>
        <w:t xml:space="preserve">totale </w:t>
      </w:r>
      <w:r w:rsidRPr="00D16886">
        <w:t xml:space="preserve">dans </w:t>
      </w:r>
      <w:r w:rsidRPr="00466E9A">
        <w:rPr>
          <w:rFonts w:eastAsia="Calibri"/>
        </w:rPr>
        <w:t>les scénarios</w:t>
      </w:r>
      <w:r w:rsidRPr="00D16886">
        <w:t xml:space="preserve"> AME</w:t>
      </w:r>
      <w:r w:rsidRPr="00466E9A">
        <w:rPr>
          <w:rFonts w:eastAsia="Calibri"/>
        </w:rPr>
        <w:t xml:space="preserve"> et AMS (ligne 39 et 72)</w:t>
      </w:r>
      <w:r>
        <w:t>.</w:t>
      </w:r>
    </w:p>
    <w:p w14:paraId="6DCBC579" w14:textId="60478D26" w:rsidR="00660D63" w:rsidRDefault="00660D63" w:rsidP="00660D63">
      <w:pPr>
        <w:spacing w:after="0"/>
        <w:jc w:val="both"/>
      </w:pPr>
    </w:p>
    <w:p w14:paraId="3BD141D0" w14:textId="77777777" w:rsidR="00B55BD2" w:rsidRDefault="00660D63" w:rsidP="00660D63">
      <w:pPr>
        <w:pStyle w:val="Paragraphedeliste"/>
        <w:numPr>
          <w:ilvl w:val="0"/>
          <w:numId w:val="2"/>
        </w:numPr>
        <w:spacing w:after="0"/>
        <w:ind w:left="360"/>
        <w:jc w:val="both"/>
      </w:pPr>
      <w:r>
        <w:t xml:space="preserve">Sur </w:t>
      </w:r>
      <w:r w:rsidRPr="00C30E8D">
        <w:rPr>
          <w:rFonts w:eastAsia="Calibri"/>
        </w:rPr>
        <w:t xml:space="preserve">la feuille </w:t>
      </w:r>
      <w:r w:rsidRPr="00D16886">
        <w:t>« 4. Prix du C »</w:t>
      </w:r>
      <w:r w:rsidR="00B55BD2">
        <w:t> :</w:t>
      </w:r>
      <w:r>
        <w:t xml:space="preserve"> </w:t>
      </w:r>
    </w:p>
    <w:p w14:paraId="71193574" w14:textId="779F00A9" w:rsidR="00660D63" w:rsidRDefault="00B55BD2" w:rsidP="00B55BD2">
      <w:pPr>
        <w:pStyle w:val="Paragraphedeliste"/>
        <w:numPr>
          <w:ilvl w:val="0"/>
          <w:numId w:val="6"/>
        </w:numPr>
        <w:spacing w:after="0"/>
        <w:jc w:val="both"/>
      </w:pPr>
      <w:r>
        <w:t>L</w:t>
      </w:r>
      <w:r w:rsidRPr="00B55BD2">
        <w:t xml:space="preserve">a trajectoire de prix issue du sondage réalisé par Carbon Pulse auprès d'analystes de marché </w:t>
      </w:r>
      <w:r>
        <w:t>devrait être actualisée : d</w:t>
      </w:r>
      <w:r w:rsidRPr="00B55BD2">
        <w:t>ans le dernier sondage de début février 2023, le prix atteint 142,3</w:t>
      </w:r>
      <w:r>
        <w:t> </w:t>
      </w:r>
      <w:r w:rsidRPr="00B55BD2">
        <w:t xml:space="preserve">€/tCO2e en 2030 </w:t>
      </w:r>
      <w:r>
        <w:t>contre</w:t>
      </w:r>
      <w:r w:rsidRPr="00B55BD2">
        <w:t xml:space="preserve"> 94</w:t>
      </w:r>
      <w:r>
        <w:t xml:space="preserve"> </w:t>
      </w:r>
      <w:r w:rsidRPr="00B55BD2">
        <w:t>€/tCO2e dans le tableau transmis.</w:t>
      </w:r>
    </w:p>
    <w:p w14:paraId="2997A1BC" w14:textId="293E8407" w:rsidR="00ED42AF" w:rsidRDefault="00B55BD2" w:rsidP="00155D45">
      <w:pPr>
        <w:pStyle w:val="Paragraphedeliste"/>
        <w:numPr>
          <w:ilvl w:val="0"/>
          <w:numId w:val="6"/>
        </w:numPr>
        <w:spacing w:after="0"/>
        <w:jc w:val="both"/>
      </w:pPr>
      <w:r w:rsidRPr="00B55BD2">
        <w:t xml:space="preserve">Le prix du carbone </w:t>
      </w:r>
      <w:r>
        <w:t>apparaît</w:t>
      </w:r>
      <w:r w:rsidRPr="00B55BD2">
        <w:t xml:space="preserve"> faible dans le scénario AMS run 2 (73 €/tCO2e en 2023, 76 €/tCO2e en 2030)</w:t>
      </w:r>
      <w:r>
        <w:t>. Est-il prévu de considérer</w:t>
      </w:r>
      <w:r w:rsidRPr="00B55BD2">
        <w:t xml:space="preserve"> un prix plus ambitieux</w:t>
      </w:r>
      <w:r>
        <w:t xml:space="preserve"> </w:t>
      </w:r>
      <w:r w:rsidRPr="00B55BD2">
        <w:t>?</w:t>
      </w:r>
    </w:p>
    <w:sectPr w:rsidR="00ED4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39EB"/>
    <w:multiLevelType w:val="hybridMultilevel"/>
    <w:tmpl w:val="51A0D6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68C0"/>
    <w:multiLevelType w:val="hybridMultilevel"/>
    <w:tmpl w:val="C91484C6"/>
    <w:lvl w:ilvl="0" w:tplc="2D8E20CA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C70459"/>
    <w:multiLevelType w:val="hybridMultilevel"/>
    <w:tmpl w:val="18224A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F61B5"/>
    <w:multiLevelType w:val="hybridMultilevel"/>
    <w:tmpl w:val="585E89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61716"/>
    <w:multiLevelType w:val="hybridMultilevel"/>
    <w:tmpl w:val="B854E058"/>
    <w:lvl w:ilvl="0" w:tplc="2D8E20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1024"/>
    <w:multiLevelType w:val="hybridMultilevel"/>
    <w:tmpl w:val="54E8D51A"/>
    <w:lvl w:ilvl="0" w:tplc="2D8E20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E4"/>
    <w:rsid w:val="00355204"/>
    <w:rsid w:val="00466E9A"/>
    <w:rsid w:val="0048025A"/>
    <w:rsid w:val="00492FE4"/>
    <w:rsid w:val="00496C77"/>
    <w:rsid w:val="00634379"/>
    <w:rsid w:val="00660D63"/>
    <w:rsid w:val="00716B4F"/>
    <w:rsid w:val="007C6917"/>
    <w:rsid w:val="008D7E8E"/>
    <w:rsid w:val="00AD13D5"/>
    <w:rsid w:val="00B55BD2"/>
    <w:rsid w:val="00E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C837"/>
  <w15:chartTrackingRefBased/>
  <w15:docId w15:val="{47FDC475-CA69-456D-911E-86824F46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F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2F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2F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2FE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8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ee.fr/fr/statistiques/6438753?sommaire=6438793" TargetMode="External"/><Relationship Id="rId3" Type="http://schemas.openxmlformats.org/officeDocument/2006/relationships/styles" Target="styles.xml"/><Relationship Id="rId7" Type="http://schemas.openxmlformats.org/officeDocument/2006/relationships/hyperlink" Target="https://ec.europa.eu/eurostat/web/national-accounts/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ee.fr/fr/outil-interactif/536785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ee.fr/fr/statistiques/6438753?sommaire=64387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34FCD-D49B-41E0-9A64-869E41BE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 Trésor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Pierre-Louis</dc:creator>
  <cp:keywords/>
  <dc:description/>
  <cp:lastModifiedBy>GIRARD Pierre-Louis</cp:lastModifiedBy>
  <cp:revision>4</cp:revision>
  <dcterms:created xsi:type="dcterms:W3CDTF">2023-03-21T14:23:00Z</dcterms:created>
  <dcterms:modified xsi:type="dcterms:W3CDTF">2023-03-28T12:15:00Z</dcterms:modified>
</cp:coreProperties>
</file>