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keepNext w:val="true"/>
        <w:keepLines/>
        <w:numPr>
          <w:ilvl w:val="0"/>
          <w:numId w:val="1"/>
        </w:numPr>
        <w:rPr>
          <w:b/>
          <w:b/>
        </w:rPr>
      </w:pPr>
      <w:r>
        <w:rPr>
          <w:b/>
        </w:rPr>
        <w:t>Hypothèses et chiffrages sectoriels : traduction prospective des leviers et mesures pour une simulation économique</w:t>
      </w:r>
    </w:p>
    <w:p>
      <w:pPr>
        <w:pStyle w:val="Normal"/>
        <w:rPr/>
      </w:pPr>
      <w:r>
        <w:rPr/>
        <w:t xml:space="preserve">Selon les lignes de méthodes énoncées au 2., cette partie passe en revue les grands domaines identifiés par la SNBC pour la baisse des émissions de GES : transport, bâtiment (résidentiel et tertiaire), secteurs productifs (énergie, industrie, agriculture). Sont précisés de manière synthétique les leviers mis en œuvre, et plus précisément le type de mesures qui pourraient en permettre l’atteinte des objectifs. </w:t>
      </w:r>
    </w:p>
    <w:p>
      <w:pPr>
        <w:pStyle w:val="Normal"/>
        <w:rPr>
          <w:b/>
          <w:b/>
        </w:rPr>
      </w:pPr>
      <w:r>
        <w:rPr>
          <w:b/>
        </w:rPr>
        <w:t>Caveat : cet exercice est par nature prospectif. Les mesures considérées sont des illustrations des possibles. Elles ne préjugent pas ce celles qui seront effectivement prises par les gouvernements dans le futur.</w:t>
      </w:r>
    </w:p>
    <w:p>
      <w:pPr>
        <w:pStyle w:val="Normal"/>
        <w:rPr/>
      </w:pPr>
      <w:r>
        <w:rPr/>
        <w:t>Les mesures implémentées dans le modèle sont en pratique un équilibre entre différentes options :</w:t>
      </w:r>
    </w:p>
    <w:p>
      <w:pPr>
        <w:pStyle w:val="ListParagraph"/>
        <w:numPr>
          <w:ilvl w:val="0"/>
          <w:numId w:val="2"/>
        </w:numPr>
        <w:rPr/>
      </w:pPr>
      <w:r>
        <w:rPr/>
        <w:t>Une prolongation des choix déjà faits et qui semblent devoir se poursuivre en matière de subventions, notamment pour accompagner l’établissement d’obligations ou de normes d’efficacité énergétique ;</w:t>
      </w:r>
    </w:p>
    <w:p>
      <w:pPr>
        <w:pStyle w:val="ListParagraph"/>
        <w:numPr>
          <w:ilvl w:val="0"/>
          <w:numId w:val="2"/>
        </w:numPr>
        <w:rPr/>
      </w:pPr>
      <w:r>
        <w:rPr/>
        <w:t>Une utilisation plus volontariste des tarifications du carbone, avec la question de la redistribution de la recette associée ;</w:t>
      </w:r>
    </w:p>
    <w:p>
      <w:pPr>
        <w:pStyle w:val="ListParagraph"/>
        <w:numPr>
          <w:ilvl w:val="0"/>
          <w:numId w:val="2"/>
        </w:numPr>
        <w:rPr/>
      </w:pPr>
      <w:r>
        <w:rPr/>
        <w:t>Des hypothèses de changement de la structure productive, pour refléter les efforts d’économies d’intrants, de recyclage, de sobriété ;</w:t>
      </w:r>
    </w:p>
    <w:p>
      <w:pPr>
        <w:pStyle w:val="Normal"/>
        <w:rPr/>
      </w:pPr>
      <w:r>
        <w:rPr/>
        <w:t>Il résulte des hypothèses des chiffrages des surcroîts d’investissements et des évolutions de factures énergétiques qui sont synthétisés dans le tableau infra ; les précisions sont ensuite apportées dans les sous-parties sectorielles qui suivent.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5866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5866130"/>
                    </a:xfrm>
                    <a:prstGeom prst="rect">
                      <a:avLst/>
                    </a:prstGeom>
                  </pic:spPr>
                </pic:pic>
              </a:graphicData>
            </a:graphic>
          </wp:anchor>
        </w:drawing>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3"/>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463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e463f"/>
    <w:pPr>
      <w:spacing w:before="0" w:after="160"/>
      <w:ind w:left="720" w:hanging="0"/>
      <w:contextualSpacing/>
    </w:pPr>
    <w:rPr/>
  </w:style>
  <w:style w:type="paragraph" w:styleId="Contenudetableau">
    <w:name w:val="Contenu de tableau"/>
    <w:basedOn w:val="Normal"/>
    <w:qFormat/>
    <w:pPr>
      <w:widowControl w:val="false"/>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Application>LibreOffice/7.4.7.2$Windows_X86_64 LibreOffice_project/723314e595e8007d3cf785c16538505a1c878ca5</Application>
  <AppVersion>15.0000</AppVersion>
  <Pages>2</Pages>
  <Words>227</Words>
  <Characters>1329</Characters>
  <CharactersWithSpaces>1545</CharactersWithSpaces>
  <Paragraphs>8</Paragraphs>
  <Company>SPM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2023-11-27T11:34:00Z</dcterms:created>
  <dc:creator>BONNET Xavier</dc:creator>
  <dc:description/>
  <dc:language>fr-FR</dc:language>
  <cp:lastModifiedBy>Xavier Bonnet</cp:lastModifiedBy>
  <dcterms:modified xsi:type="dcterms:W3CDTF">2023-12-01T17:52:13Z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