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B82" w:rsidRPr="00746EEC" w:rsidRDefault="00CF1464">
      <w:pPr>
        <w:rPr>
          <w:b/>
        </w:rPr>
      </w:pPr>
      <w:r>
        <w:rPr>
          <w:b/>
        </w:rPr>
        <w:t>3.</w:t>
      </w:r>
      <w:r w:rsidR="00367D11">
        <w:rPr>
          <w:b/>
        </w:rPr>
        <w:t>c</w:t>
      </w:r>
      <w:r w:rsidR="00A751E3" w:rsidRPr="00746EEC">
        <w:rPr>
          <w:b/>
        </w:rPr>
        <w:t xml:space="preserve">. </w:t>
      </w:r>
      <w:r w:rsidR="00367D11">
        <w:rPr>
          <w:b/>
        </w:rPr>
        <w:t>Secteur énergétique</w:t>
      </w:r>
    </w:p>
    <w:p w:rsidR="00B52D68" w:rsidRDefault="00A751E3" w:rsidP="00B52D68">
      <w:pPr>
        <w:tabs>
          <w:tab w:val="left" w:pos="3245"/>
        </w:tabs>
      </w:pPr>
      <w:r>
        <w:t xml:space="preserve">Le scénario </w:t>
      </w:r>
      <w:r w:rsidR="00E7414E">
        <w:t>SNBC-itération2</w:t>
      </w:r>
      <w:r w:rsidR="00701312">
        <w:t>, en lien avec la PPE,</w:t>
      </w:r>
      <w:r>
        <w:t xml:space="preserve"> </w:t>
      </w:r>
      <w:r w:rsidR="0068756E">
        <w:t>décrit comment le secteur doit répondre à une demande d’énergie décarbonée en forte croissance, par un mix renouvelé pour l’</w:t>
      </w:r>
      <w:r w:rsidR="006D29E2">
        <w:t>électricité, la c</w:t>
      </w:r>
      <w:r w:rsidR="0068756E">
        <w:t>haleur</w:t>
      </w:r>
      <w:r w:rsidR="006D29E2">
        <w:t xml:space="preserve"> urbaine, le raffinage, le recyclage des déchets</w:t>
      </w:r>
      <w:r w:rsidR="0068756E">
        <w:t>.</w:t>
      </w:r>
      <w:r w:rsidR="006D29E2">
        <w:t xml:space="preserve"> </w:t>
      </w:r>
      <w:r w:rsidR="00DF0A9D">
        <w:t xml:space="preserve">Ce mix est pris comme exogène dans la modélisation économique, côté </w:t>
      </w:r>
      <w:r w:rsidR="00B52D68">
        <w:t>composition de l’</w:t>
      </w:r>
      <w:r w:rsidR="00DF0A9D">
        <w:t xml:space="preserve">offre. </w:t>
      </w:r>
      <w:r w:rsidR="00B52D68">
        <w:t>Les mesures nationales vont se prolonger pour soutenir les investissements</w:t>
      </w:r>
      <w:r w:rsidR="00E16D07">
        <w:t xml:space="preserve">. Le surcroît d’investissement atteint </w:t>
      </w:r>
      <w:r w:rsidR="00E16D07" w:rsidRPr="00986909">
        <w:t>4</w:t>
      </w:r>
      <w:r w:rsidR="00B52D68" w:rsidRPr="00986909">
        <w:t xml:space="preserve"> Md€ en 2030 et </w:t>
      </w:r>
      <w:r w:rsidR="00E16D07" w:rsidRPr="00986909">
        <w:t>s’annule en</w:t>
      </w:r>
      <w:r w:rsidR="00B52D68" w:rsidRPr="00986909">
        <w:t xml:space="preserve"> 2050</w:t>
      </w:r>
      <w:r w:rsidR="00B52D68">
        <w:t>. Ces soutiens publics transitent notamment par France2030</w:t>
      </w:r>
      <w:r w:rsidR="00080C53">
        <w:t xml:space="preserve"> (hydrogène décarboné, biocarburants)</w:t>
      </w:r>
      <w:r w:rsidR="00B52D68">
        <w:t xml:space="preserve"> et par le fonds chaleur (pour le recyclage énergétique des déchets).</w:t>
      </w:r>
    </w:p>
    <w:p w:rsidR="00E16D07" w:rsidRDefault="00E16D07" w:rsidP="00E16D07">
      <w:pPr>
        <w:tabs>
          <w:tab w:val="left" w:pos="3245"/>
        </w:tabs>
      </w:pPr>
      <w:r>
        <w:t>Graphique : investissements dans le secteur énergétique</w:t>
      </w:r>
    </w:p>
    <w:p w:rsidR="00E16D07" w:rsidRDefault="00E16D07" w:rsidP="00E16D07">
      <w:pPr>
        <w:tabs>
          <w:tab w:val="left" w:pos="3245"/>
        </w:tabs>
      </w:pPr>
      <w:r>
        <w:rPr>
          <w:noProof/>
          <w:lang w:eastAsia="fr-FR"/>
        </w:rPr>
        <w:drawing>
          <wp:inline distT="0" distB="0" distL="0" distR="0" wp14:anchorId="40A44CBE" wp14:editId="7A20E20C">
            <wp:extent cx="5760720" cy="2931160"/>
            <wp:effectExtent l="0" t="0" r="11430" b="254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01312" w:rsidRDefault="00080C53" w:rsidP="0068756E">
      <w:pPr>
        <w:tabs>
          <w:tab w:val="left" w:pos="3245"/>
        </w:tabs>
      </w:pPr>
      <w:r>
        <w:t>Côté</w:t>
      </w:r>
      <w:r w:rsidR="00B52D68">
        <w:t xml:space="preserve"> </w:t>
      </w:r>
      <w:r w:rsidR="00DF0A9D">
        <w:t>demande</w:t>
      </w:r>
      <w:r>
        <w:t>, le secteur énergétique</w:t>
      </w:r>
      <w:r w:rsidR="00DF0A9D">
        <w:t xml:space="preserve"> répond de manière endogène à la composition de l’activité (les besoins énergétiques de chaque secteur</w:t>
      </w:r>
      <w:r w:rsidR="00A17196">
        <w:t xml:space="preserve"> pour alimenter la demande finale de biens et services</w:t>
      </w:r>
      <w:r w:rsidR="00DF0A9D">
        <w:t>)</w:t>
      </w:r>
      <w:r w:rsidR="00A17196">
        <w:t xml:space="preserve">. Cette demande est tributaire des prix de l’énergie qui </w:t>
      </w:r>
      <w:r w:rsidR="00C61C14">
        <w:t xml:space="preserve">sont </w:t>
      </w:r>
      <w:r w:rsidR="00B95D41">
        <w:t xml:space="preserve">eux-mêmes </w:t>
      </w:r>
      <w:r w:rsidR="00C61C14">
        <w:t>tributaires</w:t>
      </w:r>
      <w:r w:rsidR="00A17196">
        <w:t xml:space="preserve"> des coûts et des instruments économiques.</w:t>
      </w:r>
      <w:r w:rsidR="00A17196" w:rsidRPr="00A17196">
        <w:t xml:space="preserve"> </w:t>
      </w:r>
      <w:r w:rsidR="00A17196">
        <w:t xml:space="preserve">Les coûts des différentes technologies implémentés dans le modèle proviennent des projections RTE pour l’électricité. Ils tiennent aussi compte du prix du quota carbone de </w:t>
      </w:r>
      <w:r w:rsidR="006D29E2">
        <w:t>l’ETS qui couvre les trois quarts</w:t>
      </w:r>
      <w:r w:rsidR="00CC7BDB">
        <w:t xml:space="preserve"> des émissions du secteur</w:t>
      </w:r>
      <w:r w:rsidR="00A17196">
        <w:t xml:space="preserve"> énergétique. Ce </w:t>
      </w:r>
      <w:r w:rsidR="00CC7BDB">
        <w:t>prix est supposé atteindre 80 €/t en 2030 et 160 €/t en 2050 selon le scénario de la Commission européenne.</w:t>
      </w:r>
      <w:r w:rsidR="00B32F59">
        <w:t xml:space="preserve"> D’autres instruments économiques sont mobilisés pour atteindre les objectifs, notamment celui d’incorporation des biocarburants (la taxe incitative relative à l’utilisation d’énergie renouvelable dans le transport (Tiruert)) ; cette taxe agit comme un prix implicite</w:t>
      </w:r>
      <w:r w:rsidR="00365741">
        <w:t xml:space="preserve"> intégré dans la modélisation.</w:t>
      </w:r>
      <w:bookmarkStart w:id="0" w:name="_GoBack"/>
      <w:bookmarkEnd w:id="0"/>
    </w:p>
    <w:p w:rsidR="00B05017" w:rsidRDefault="00B05017" w:rsidP="00F81BE0"/>
    <w:sectPr w:rsidR="00B05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C16" w:rsidRDefault="00A60C16" w:rsidP="00A60C16">
      <w:pPr>
        <w:spacing w:after="0" w:line="240" w:lineRule="auto"/>
      </w:pPr>
      <w:r>
        <w:separator/>
      </w:r>
    </w:p>
  </w:endnote>
  <w:endnote w:type="continuationSeparator" w:id="0">
    <w:p w:rsidR="00A60C16" w:rsidRDefault="00A60C16" w:rsidP="00A60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C16" w:rsidRDefault="00A60C16" w:rsidP="00A60C16">
      <w:pPr>
        <w:spacing w:after="0" w:line="240" w:lineRule="auto"/>
      </w:pPr>
      <w:r>
        <w:separator/>
      </w:r>
    </w:p>
  </w:footnote>
  <w:footnote w:type="continuationSeparator" w:id="0">
    <w:p w:rsidR="00A60C16" w:rsidRDefault="00A60C16" w:rsidP="00A60C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E3"/>
    <w:rsid w:val="00033CB6"/>
    <w:rsid w:val="00056F9D"/>
    <w:rsid w:val="00080C53"/>
    <w:rsid w:val="0008392A"/>
    <w:rsid w:val="000A3B15"/>
    <w:rsid w:val="000B0B82"/>
    <w:rsid w:val="002B1BC3"/>
    <w:rsid w:val="00301835"/>
    <w:rsid w:val="003448ED"/>
    <w:rsid w:val="00365741"/>
    <w:rsid w:val="00367D11"/>
    <w:rsid w:val="003C7BE2"/>
    <w:rsid w:val="004B5978"/>
    <w:rsid w:val="0056340F"/>
    <w:rsid w:val="005847B0"/>
    <w:rsid w:val="005A5240"/>
    <w:rsid w:val="005A5EA3"/>
    <w:rsid w:val="005E11E7"/>
    <w:rsid w:val="005E12A8"/>
    <w:rsid w:val="0061665A"/>
    <w:rsid w:val="00623A71"/>
    <w:rsid w:val="00625D3F"/>
    <w:rsid w:val="00661DDE"/>
    <w:rsid w:val="00666CE2"/>
    <w:rsid w:val="0068756E"/>
    <w:rsid w:val="006D29E2"/>
    <w:rsid w:val="00701312"/>
    <w:rsid w:val="0071260C"/>
    <w:rsid w:val="00732E2E"/>
    <w:rsid w:val="00746EEC"/>
    <w:rsid w:val="00934F30"/>
    <w:rsid w:val="00986909"/>
    <w:rsid w:val="009B10B4"/>
    <w:rsid w:val="009D24C9"/>
    <w:rsid w:val="00A17196"/>
    <w:rsid w:val="00A37209"/>
    <w:rsid w:val="00A60C16"/>
    <w:rsid w:val="00A751E3"/>
    <w:rsid w:val="00A77A1C"/>
    <w:rsid w:val="00B05017"/>
    <w:rsid w:val="00B1637C"/>
    <w:rsid w:val="00B27910"/>
    <w:rsid w:val="00B32F59"/>
    <w:rsid w:val="00B52D68"/>
    <w:rsid w:val="00B82A8C"/>
    <w:rsid w:val="00B95D41"/>
    <w:rsid w:val="00BD6CA7"/>
    <w:rsid w:val="00C61C14"/>
    <w:rsid w:val="00C67C58"/>
    <w:rsid w:val="00CC7BDB"/>
    <w:rsid w:val="00CF1464"/>
    <w:rsid w:val="00D62CBD"/>
    <w:rsid w:val="00D6643F"/>
    <w:rsid w:val="00D72E6C"/>
    <w:rsid w:val="00DB0D3A"/>
    <w:rsid w:val="00DF0A9D"/>
    <w:rsid w:val="00E16289"/>
    <w:rsid w:val="00E16D07"/>
    <w:rsid w:val="00E7414E"/>
    <w:rsid w:val="00EA1BFA"/>
    <w:rsid w:val="00F8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8121"/>
  <w15:chartTrackingRefBased/>
  <w15:docId w15:val="{05BB3068-6465-49C2-9E1F-5FED4CFA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60C1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60C1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60C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\\COMMUN.MISSIONS.PM.GOUV.FR\SGPE-COMMUN$\Chantiers%20-%20Transverses\Dossier%20&#233;valuation-financement\GT%20simulations\projet%20de%20note\R&#233;sultats%20sectoriels%20v202311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baseline="0"/>
              <a:t>Secteur énergétique(AMS-AME)</a:t>
            </a:r>
            <a:endParaRPr lang="fr-FR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9.6001889518387534E-2"/>
          <c:y val="0.11359877488514548"/>
          <c:w val="0.6636241330760807"/>
          <c:h val="0.85271056661562017"/>
        </c:manualLayout>
      </c:layout>
      <c:lineChart>
        <c:grouping val="standard"/>
        <c:varyColors val="0"/>
        <c:ser>
          <c:idx val="0"/>
          <c:order val="0"/>
          <c:tx>
            <c:strRef>
              <c:f>'G énergie'!$A$3</c:f>
              <c:strCache>
                <c:ptCount val="1"/>
                <c:pt idx="0">
                  <c:v>investissement total AMS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'Résidentiel AMS-AME'!$R$1:$AW$1</c:f>
              <c:numCache>
                <c:formatCode>General</c:formatCode>
                <c:ptCount val="7"/>
                <c:pt idx="0">
                  <c:v>2019</c:v>
                </c:pt>
                <c:pt idx="1">
                  <c:v>2025</c:v>
                </c:pt>
                <c:pt idx="2">
                  <c:v>2030</c:v>
                </c:pt>
                <c:pt idx="3">
                  <c:v>2035</c:v>
                </c:pt>
                <c:pt idx="4">
                  <c:v>2040</c:v>
                </c:pt>
                <c:pt idx="5">
                  <c:v>2045</c:v>
                </c:pt>
                <c:pt idx="6">
                  <c:v>2050</c:v>
                </c:pt>
              </c:numCache>
            </c:numRef>
          </c:cat>
          <c:val>
            <c:numRef>
              <c:f>'G énergie'!$B$3:$AG$3</c:f>
              <c:numCache>
                <c:formatCode>0</c:formatCode>
                <c:ptCount val="7"/>
                <c:pt idx="0">
                  <c:v>10624.042438141129</c:v>
                </c:pt>
                <c:pt idx="1">
                  <c:v>12352.018286772302</c:v>
                </c:pt>
                <c:pt idx="2">
                  <c:v>16416.928884616049</c:v>
                </c:pt>
                <c:pt idx="3">
                  <c:v>17694.037591104727</c:v>
                </c:pt>
                <c:pt idx="4">
                  <c:v>17928.044874676641</c:v>
                </c:pt>
                <c:pt idx="5">
                  <c:v>17512.879465022212</c:v>
                </c:pt>
                <c:pt idx="6">
                  <c:v>16814.524225748046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77-45EB-9B34-6B7068F5F468}"/>
            </c:ext>
          </c:extLst>
        </c:ser>
        <c:ser>
          <c:idx val="2"/>
          <c:order val="1"/>
          <c:tx>
            <c:strRef>
              <c:f>'G énergie'!$A$2</c:f>
              <c:strCache>
                <c:ptCount val="1"/>
                <c:pt idx="0">
                  <c:v>investissement total AME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'Résidentiel AMS-AME'!$R$1:$AW$1</c:f>
              <c:numCache>
                <c:formatCode>General</c:formatCode>
                <c:ptCount val="7"/>
                <c:pt idx="0">
                  <c:v>2019</c:v>
                </c:pt>
                <c:pt idx="1">
                  <c:v>2025</c:v>
                </c:pt>
                <c:pt idx="2">
                  <c:v>2030</c:v>
                </c:pt>
                <c:pt idx="3">
                  <c:v>2035</c:v>
                </c:pt>
                <c:pt idx="4">
                  <c:v>2040</c:v>
                </c:pt>
                <c:pt idx="5">
                  <c:v>2045</c:v>
                </c:pt>
                <c:pt idx="6">
                  <c:v>2050</c:v>
                </c:pt>
              </c:numCache>
            </c:numRef>
          </c:cat>
          <c:val>
            <c:numRef>
              <c:f>'G énergie'!$B$2:$AG$2</c:f>
              <c:numCache>
                <c:formatCode>0</c:formatCode>
                <c:ptCount val="7"/>
                <c:pt idx="0">
                  <c:v>10624.038357030391</c:v>
                </c:pt>
                <c:pt idx="1">
                  <c:v>10936.898553541312</c:v>
                </c:pt>
                <c:pt idx="2">
                  <c:v>12868.193049732125</c:v>
                </c:pt>
                <c:pt idx="3">
                  <c:v>14711.451822481238</c:v>
                </c:pt>
                <c:pt idx="4">
                  <c:v>16388.048929195018</c:v>
                </c:pt>
                <c:pt idx="5">
                  <c:v>16829.1243801079</c:v>
                </c:pt>
                <c:pt idx="6">
                  <c:v>17751.133293860606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77-45EB-9B34-6B7068F5F468}"/>
            </c:ext>
          </c:extLst>
        </c:ser>
        <c:ser>
          <c:idx val="1"/>
          <c:order val="2"/>
          <c:tx>
            <c:strRef>
              <c:f>'G énergie'!$A$4</c:f>
              <c:strCache>
                <c:ptCount val="1"/>
                <c:pt idx="0">
                  <c:v>surcroît d'investissement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'G énergie'!$B$4:$AG$4</c:f>
              <c:numCache>
                <c:formatCode>0</c:formatCode>
                <c:ptCount val="7"/>
                <c:pt idx="0">
                  <c:v>4.0811107373883715E-3</c:v>
                </c:pt>
                <c:pt idx="1">
                  <c:v>1415.1197332309894</c:v>
                </c:pt>
                <c:pt idx="2">
                  <c:v>3548.7358348839243</c:v>
                </c:pt>
                <c:pt idx="3">
                  <c:v>2982.5857686234885</c:v>
                </c:pt>
                <c:pt idx="4">
                  <c:v>1539.9959454816235</c:v>
                </c:pt>
                <c:pt idx="5">
                  <c:v>683.75508491431174</c:v>
                </c:pt>
                <c:pt idx="6">
                  <c:v>-936.60906811256064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777-45EB-9B34-6B7068F5F4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1495952"/>
        <c:axId val="2082700320"/>
      </c:lineChart>
      <c:catAx>
        <c:axId val="175149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82700320"/>
        <c:crosses val="autoZero"/>
        <c:auto val="1"/>
        <c:lblAlgn val="ctr"/>
        <c:lblOffset val="100"/>
        <c:noMultiLvlLbl val="0"/>
      </c:catAx>
      <c:valAx>
        <c:axId val="208270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M€(2021)</a:t>
                </a:r>
              </a:p>
            </c:rich>
          </c:tx>
          <c:layout>
            <c:manualLayout>
              <c:xMode val="edge"/>
              <c:yMode val="edge"/>
              <c:x val="1.7140631086871836E-2"/>
              <c:y val="6.03750105509398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51495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966881282418587"/>
          <c:y val="0.30450181476166932"/>
          <c:w val="0.19227972233895382"/>
          <c:h val="0.400077654917943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1C528-2113-4971-A0BE-113962EDC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SPM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BONNET Xavier</dc:creator>
  <cp:keywords/>
  <dc:description/>
  <cp:lastModifiedBy>BONNET Xavier</cp:lastModifiedBy>
  <cp:revision>10</cp:revision>
  <dcterms:created xsi:type="dcterms:W3CDTF">2023-11-16T16:25:00Z</dcterms:created>
  <dcterms:modified xsi:type="dcterms:W3CDTF">2023-11-29T16:53:00Z</dcterms:modified>
</cp:coreProperties>
</file>