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1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19A1" w14:textId="57058167" w:rsidR="00E95E28" w:rsidRDefault="00E95E28" w:rsidP="00EB06C7">
      <w:pPr>
        <w:jc w:val="center"/>
        <w:rPr>
          <w:b/>
          <w:bCs/>
          <w:sz w:val="28"/>
          <w:szCs w:val="28"/>
        </w:rPr>
      </w:pPr>
      <w:r w:rsidRPr="00E36E74">
        <w:rPr>
          <w:b/>
          <w:bCs/>
          <w:sz w:val="28"/>
          <w:szCs w:val="28"/>
        </w:rPr>
        <w:t>Comparaison des chroniques de besoins d’investissements</w:t>
      </w:r>
      <w:r w:rsidR="001B5AEE" w:rsidRPr="00E36E74">
        <w:rPr>
          <w:b/>
          <w:bCs/>
          <w:sz w:val="28"/>
          <w:szCs w:val="28"/>
        </w:rPr>
        <w:t xml:space="preserve"> dans les actifs bas-carbone </w:t>
      </w:r>
      <w:r w:rsidR="00370333" w:rsidRPr="00E36E74">
        <w:rPr>
          <w:b/>
          <w:bCs/>
          <w:sz w:val="28"/>
          <w:szCs w:val="28"/>
        </w:rPr>
        <w:t>(€2022)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0DDC" w14:paraId="56465598" w14:textId="77777777" w:rsidTr="0005399D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5FCDB" w14:textId="6907FE1B" w:rsidR="00070DDC" w:rsidRPr="005644F7" w:rsidRDefault="00070DDC" w:rsidP="0005399D">
            <w:pPr>
              <w:rPr>
                <w:b/>
                <w:bCs/>
              </w:rPr>
            </w:pPr>
            <w:r w:rsidRPr="005644F7">
              <w:rPr>
                <w:b/>
                <w:bCs/>
              </w:rPr>
              <w:t xml:space="preserve">En résumé : </w:t>
            </w:r>
            <w:r w:rsidRPr="005644F7">
              <w:rPr>
                <w:b/>
                <w:bCs/>
                <w:highlight w:val="yellow"/>
              </w:rPr>
              <w:t>XXX (à compléter selon réponse ADEME et I4CE aux commentaires)</w:t>
            </w:r>
          </w:p>
          <w:p w14:paraId="72AC3E3A" w14:textId="77777777" w:rsidR="0005399D" w:rsidRDefault="0005399D" w:rsidP="0005399D">
            <w:pPr>
              <w:rPr>
                <w:i/>
                <w:iCs/>
              </w:rPr>
            </w:pPr>
          </w:p>
          <w:p w14:paraId="75DADA3D" w14:textId="77777777" w:rsidR="00070DDC" w:rsidRPr="00070DDC" w:rsidRDefault="00070DDC" w:rsidP="0005399D">
            <w:pPr>
              <w:rPr>
                <w:i/>
                <w:iCs/>
              </w:rPr>
            </w:pPr>
            <w:r w:rsidRPr="00070DDC">
              <w:rPr>
                <w:i/>
                <w:iCs/>
              </w:rPr>
              <w:t>Pistes d’approfondissement pour la suite des travaux :</w:t>
            </w:r>
          </w:p>
          <w:p w14:paraId="67F3455A" w14:textId="096937E0" w:rsidR="00070DDC" w:rsidRPr="0005399D" w:rsidRDefault="00070DDC" w:rsidP="0005399D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r w:rsidRPr="0005399D">
              <w:rPr>
                <w:i/>
                <w:iCs/>
              </w:rPr>
              <w:t xml:space="preserve">Etudier les chroniques d’investissements climat ferroviaires </w:t>
            </w:r>
          </w:p>
          <w:p w14:paraId="7AB87CD0" w14:textId="1B3FDDA4" w:rsidR="00070DDC" w:rsidRPr="00070DDC" w:rsidRDefault="00070DDC" w:rsidP="0005399D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r w:rsidRPr="00070DDC">
              <w:rPr>
                <w:i/>
                <w:iCs/>
              </w:rPr>
              <w:t>Etudier les chroniques d’investissements en construction neuve (climat uniquement ou totaux également)</w:t>
            </w:r>
          </w:p>
          <w:p w14:paraId="12991FB7" w14:textId="777707FE" w:rsidR="00070DDC" w:rsidRPr="00070DDC" w:rsidRDefault="00070DDC" w:rsidP="0005399D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r w:rsidRPr="00070DDC">
              <w:rPr>
                <w:i/>
                <w:iCs/>
              </w:rPr>
              <w:t>Etudier les chroniques d’investissements bruns</w:t>
            </w:r>
          </w:p>
          <w:p w14:paraId="1762758B" w14:textId="070119F5" w:rsidR="00070DDC" w:rsidRPr="00070DDC" w:rsidRDefault="00070DDC" w:rsidP="0005399D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r w:rsidRPr="00070DDC">
              <w:rPr>
                <w:i/>
                <w:iCs/>
              </w:rPr>
              <w:t>Explorer la réduction des investissements en net (choc d’investissement négatif au total ?)</w:t>
            </w:r>
          </w:p>
          <w:p w14:paraId="5EA7B6A3" w14:textId="5CDB3BA1" w:rsidR="0005399D" w:rsidRDefault="00070DDC" w:rsidP="0005399D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r w:rsidRPr="00070DDC">
              <w:rPr>
                <w:i/>
                <w:iCs/>
              </w:rPr>
              <w:t xml:space="preserve">Plus secondaire : </w:t>
            </w:r>
          </w:p>
          <w:p w14:paraId="277ACB29" w14:textId="77777777" w:rsidR="0005399D" w:rsidRDefault="00070DDC" w:rsidP="0005399D">
            <w:pPr>
              <w:pStyle w:val="Paragraphedeliste"/>
              <w:numPr>
                <w:ilvl w:val="1"/>
                <w:numId w:val="6"/>
              </w:numPr>
              <w:rPr>
                <w:i/>
                <w:iCs/>
              </w:rPr>
            </w:pPr>
            <w:r w:rsidRPr="0005399D">
              <w:rPr>
                <w:i/>
                <w:iCs/>
              </w:rPr>
              <w:t>Faire un bilan du bloc forestier</w:t>
            </w:r>
          </w:p>
          <w:p w14:paraId="32B24745" w14:textId="77777777" w:rsidR="0005399D" w:rsidRDefault="00070DDC" w:rsidP="00070DDC">
            <w:pPr>
              <w:pStyle w:val="Paragraphedeliste"/>
              <w:numPr>
                <w:ilvl w:val="1"/>
                <w:numId w:val="6"/>
              </w:numPr>
              <w:rPr>
                <w:i/>
                <w:iCs/>
              </w:rPr>
            </w:pPr>
            <w:r w:rsidRPr="0005399D">
              <w:rPr>
                <w:i/>
                <w:iCs/>
              </w:rPr>
              <w:t>Regarder la cohérence tous investissements et consommation durable confondus ?</w:t>
            </w:r>
          </w:p>
          <w:p w14:paraId="3CF9CD50" w14:textId="647D36F5" w:rsidR="00070DDC" w:rsidRPr="0005399D" w:rsidRDefault="00070DDC" w:rsidP="00070DDC">
            <w:pPr>
              <w:pStyle w:val="Paragraphedeliste"/>
              <w:numPr>
                <w:ilvl w:val="1"/>
                <w:numId w:val="6"/>
              </w:numPr>
              <w:rPr>
                <w:i/>
                <w:iCs/>
              </w:rPr>
            </w:pPr>
            <w:r w:rsidRPr="0005399D">
              <w:rPr>
                <w:i/>
                <w:iCs/>
              </w:rPr>
              <w:t>Explorer la réduction en consommation courante ?</w:t>
            </w:r>
          </w:p>
        </w:tc>
      </w:tr>
    </w:tbl>
    <w:p w14:paraId="330B9C64" w14:textId="77777777" w:rsidR="00070DDC" w:rsidRDefault="00070DDC" w:rsidP="00070DDC">
      <w:pPr>
        <w:rPr>
          <w:i/>
          <w:iCs/>
        </w:rPr>
      </w:pPr>
    </w:p>
    <w:p w14:paraId="33A5F4C7" w14:textId="77777777" w:rsidR="00B615B7" w:rsidRPr="00B615B7" w:rsidRDefault="00B615B7" w:rsidP="00B615B7">
      <w:pPr>
        <w:rPr>
          <w:i/>
          <w:iCs/>
        </w:rPr>
      </w:pPr>
    </w:p>
    <w:p w14:paraId="5C171222" w14:textId="5B72CC2E" w:rsidR="00E95E28" w:rsidRPr="00EB06C7" w:rsidRDefault="00F6267A" w:rsidP="00F6267A">
      <w:pPr>
        <w:pStyle w:val="Paragraphedeliste"/>
        <w:numPr>
          <w:ilvl w:val="0"/>
          <w:numId w:val="2"/>
        </w:numPr>
        <w:rPr>
          <w:b/>
          <w:bCs/>
        </w:rPr>
      </w:pPr>
      <w:r w:rsidRPr="00EB06C7">
        <w:rPr>
          <w:b/>
          <w:bCs/>
        </w:rPr>
        <w:t>Transports</w:t>
      </w:r>
    </w:p>
    <w:p w14:paraId="5E0FE9FC" w14:textId="15CD4DB5" w:rsidR="00F6267A" w:rsidRDefault="00F6267A" w:rsidP="00F6267A">
      <w:pPr>
        <w:pStyle w:val="Paragraphedeliste"/>
        <w:numPr>
          <w:ilvl w:val="1"/>
          <w:numId w:val="2"/>
        </w:numPr>
        <w:rPr>
          <w:b/>
          <w:bCs/>
        </w:rPr>
      </w:pPr>
      <w:r w:rsidRPr="00EB06C7">
        <w:rPr>
          <w:b/>
          <w:bCs/>
        </w:rPr>
        <w:t>Véhicules particuliers</w:t>
      </w:r>
    </w:p>
    <w:p w14:paraId="002ADE5E" w14:textId="77777777" w:rsidR="000906C5" w:rsidRPr="000906C5" w:rsidRDefault="000906C5" w:rsidP="000906C5">
      <w:pPr>
        <w:rPr>
          <w:b/>
          <w:bCs/>
        </w:rPr>
      </w:pPr>
    </w:p>
    <w:p w14:paraId="093CE346" w14:textId="2342151C" w:rsidR="000906C5" w:rsidRDefault="005663C0" w:rsidP="005663C0">
      <w:pPr>
        <w:pStyle w:val="Paragraphedeliste"/>
        <w:numPr>
          <w:ilvl w:val="0"/>
          <w:numId w:val="4"/>
        </w:numPr>
        <w:jc w:val="both"/>
      </w:pPr>
      <w:r>
        <w:t>L’estimation du rapport Pisani-Ferry – Mahfouz (</w:t>
      </w:r>
      <w:r w:rsidR="000906C5" w:rsidRPr="000906C5">
        <w:t>JPF-SM</w:t>
      </w:r>
      <w:r>
        <w:t>, 2023)</w:t>
      </w:r>
      <w:r w:rsidR="000906C5" w:rsidRPr="000906C5">
        <w:t xml:space="preserve"> présente des besoins légèrement supérieurs en 2030 liés à des prix des VP légèrement plus élevés </w:t>
      </w:r>
      <w:r w:rsidR="000906C5">
        <w:t xml:space="preserve">que </w:t>
      </w:r>
      <w:r>
        <w:t>celle du</w:t>
      </w:r>
      <w:r w:rsidR="000906C5">
        <w:t xml:space="preserve"> Trésor </w:t>
      </w:r>
      <w:r w:rsidR="000906C5" w:rsidRPr="000906C5">
        <w:t>(34 k€ plutôt que 31 k€ dans trésor)</w:t>
      </w:r>
    </w:p>
    <w:p w14:paraId="0712277C" w14:textId="461C283D" w:rsidR="000906C5" w:rsidRPr="000906C5" w:rsidRDefault="005663C0" w:rsidP="005663C0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commentRangeStart w:id="0"/>
      <w:r>
        <w:t>L’estimation d’I4CE sur le run2 dans leur panorama 2023 (I4CE, 2023)</w:t>
      </w:r>
      <w:r w:rsidR="000906C5">
        <w:t xml:space="preserve"> présente des besoins 2030 légèrement plus élevés liés à un point de départ plus élevé sur le prix des véhicules électriques en 2022 (50 k€ plutôt que 40 k€ pour Trésor et </w:t>
      </w:r>
      <w:proofErr w:type="spellStart"/>
      <w:r w:rsidR="000906C5">
        <w:t>ThreeME</w:t>
      </w:r>
      <w:proofErr w:type="spellEnd"/>
      <w:r w:rsidR="000906C5">
        <w:t xml:space="preserve">) </w:t>
      </w:r>
      <w:commentRangeEnd w:id="0"/>
      <w:r>
        <w:rPr>
          <w:rStyle w:val="Marquedecommentaire"/>
        </w:rPr>
        <w:commentReference w:id="0"/>
      </w:r>
    </w:p>
    <w:p w14:paraId="1AAE09DE" w14:textId="2FC14C6E" w:rsidR="00AE1E2B" w:rsidRPr="000906C5" w:rsidRDefault="005663C0" w:rsidP="00F6267A">
      <w:pPr>
        <w:pStyle w:val="Paragraphedeliste"/>
        <w:numPr>
          <w:ilvl w:val="0"/>
          <w:numId w:val="4"/>
        </w:numPr>
        <w:rPr>
          <w:b/>
          <w:bCs/>
        </w:rPr>
      </w:pPr>
      <w:r>
        <w:t xml:space="preserve">L’estimation </w:t>
      </w:r>
      <w:r w:rsidR="000906C5" w:rsidRPr="002125CB">
        <w:t xml:space="preserve">2021 </w:t>
      </w:r>
      <w:r>
        <w:t xml:space="preserve">est plus basse </w:t>
      </w:r>
      <w:r w:rsidR="000906C5" w:rsidRPr="002125CB">
        <w:t xml:space="preserve">dans </w:t>
      </w:r>
      <w:r>
        <w:t xml:space="preserve">le prospectif </w:t>
      </w:r>
      <w:proofErr w:type="spellStart"/>
      <w:r w:rsidR="000906C5" w:rsidRPr="002125CB">
        <w:t>ThreeME</w:t>
      </w:r>
      <w:proofErr w:type="spellEnd"/>
      <w:r w:rsidR="000906C5" w:rsidRPr="002125CB">
        <w:t xml:space="preserve"> (180 k immatriculations contre 280 à 290 k dans le run2)</w:t>
      </w:r>
      <w:r>
        <w:t xml:space="preserve"> que dans l’historique I4CE</w:t>
      </w:r>
      <w:r w:rsidR="007D351C">
        <w:t xml:space="preserve">, pouvant provenir avant tout de la différence de prix de véhicules électriques constatée avec </w:t>
      </w:r>
      <w:commentRangeStart w:id="1"/>
      <w:r w:rsidR="007D351C">
        <w:t>I4CE</w:t>
      </w:r>
      <w:commentRangeEnd w:id="1"/>
      <w:r w:rsidR="0020649D">
        <w:rPr>
          <w:rStyle w:val="Marquedecommentaire"/>
        </w:rPr>
        <w:commentReference w:id="1"/>
      </w:r>
      <w:r w:rsidR="000906C5" w:rsidRPr="002125CB">
        <w:t xml:space="preserve"> </w:t>
      </w:r>
    </w:p>
    <w:p w14:paraId="1DEAD410" w14:textId="19F0C0BF" w:rsidR="00EB06C7" w:rsidRDefault="00E91B25" w:rsidP="00EB06C7">
      <w:pPr>
        <w:jc w:val="center"/>
      </w:pPr>
      <w:r>
        <w:rPr>
          <w:noProof/>
        </w:rPr>
        <w:lastRenderedPageBreak/>
        <w:drawing>
          <wp:inline distT="0" distB="0" distL="0" distR="0" wp14:anchorId="441F236C" wp14:editId="53069E8F">
            <wp:extent cx="3467594" cy="3374242"/>
            <wp:effectExtent l="0" t="0" r="0" b="17145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65AC19A3-9EFA-4681-A996-168B62E221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FFD330C" w14:textId="725EB2DA" w:rsidR="00F6267A" w:rsidRDefault="00F6267A" w:rsidP="00F6267A">
      <w:pPr>
        <w:pStyle w:val="Paragraphedeliste"/>
        <w:numPr>
          <w:ilvl w:val="1"/>
          <w:numId w:val="2"/>
        </w:numPr>
        <w:rPr>
          <w:b/>
          <w:bCs/>
        </w:rPr>
      </w:pPr>
      <w:r w:rsidRPr="00EB06C7">
        <w:rPr>
          <w:b/>
          <w:bCs/>
        </w:rPr>
        <w:t>Véhicules utilitaires légers, poids lourds</w:t>
      </w:r>
    </w:p>
    <w:p w14:paraId="360040F1" w14:textId="77777777" w:rsidR="00073BDC" w:rsidRPr="00073BDC" w:rsidRDefault="00073BDC" w:rsidP="00073BDC">
      <w:pPr>
        <w:rPr>
          <w:b/>
          <w:bCs/>
        </w:rPr>
      </w:pPr>
    </w:p>
    <w:p w14:paraId="1C8AE24D" w14:textId="6CFE9246" w:rsidR="00064C89" w:rsidRPr="00073BDC" w:rsidRDefault="00073BDC" w:rsidP="00073BDC">
      <w:pPr>
        <w:jc w:val="both"/>
        <w:rPr>
          <w:i/>
          <w:iCs/>
        </w:rPr>
      </w:pPr>
      <w:r w:rsidRPr="00073BDC">
        <w:rPr>
          <w:i/>
          <w:iCs/>
        </w:rPr>
        <w:t xml:space="preserve">Remarque : </w:t>
      </w:r>
      <w:r w:rsidR="00064C89" w:rsidRPr="00073BDC">
        <w:rPr>
          <w:i/>
          <w:iCs/>
        </w:rPr>
        <w:t xml:space="preserve">Dans </w:t>
      </w:r>
      <w:proofErr w:type="spellStart"/>
      <w:r w:rsidR="00064C89" w:rsidRPr="00073BDC">
        <w:rPr>
          <w:i/>
          <w:iCs/>
        </w:rPr>
        <w:t>ThreeME</w:t>
      </w:r>
      <w:proofErr w:type="spellEnd"/>
      <w:r w:rsidR="00064C89" w:rsidRPr="00073BDC">
        <w:rPr>
          <w:i/>
          <w:iCs/>
        </w:rPr>
        <w:t>, estimations des surcoûts par rapport à l’alternative carbonée uniquement (pas des investissements totaux)</w:t>
      </w:r>
      <w:r w:rsidRPr="00073BDC">
        <w:rPr>
          <w:i/>
          <w:iCs/>
        </w:rPr>
        <w:t xml:space="preserve"> </w:t>
      </w:r>
    </w:p>
    <w:p w14:paraId="478485DA" w14:textId="00CFAA00" w:rsidR="00D903EC" w:rsidRDefault="005E4438" w:rsidP="00073BDC">
      <w:pPr>
        <w:pStyle w:val="Paragraphedeliste"/>
        <w:numPr>
          <w:ilvl w:val="0"/>
          <w:numId w:val="4"/>
        </w:numPr>
        <w:jc w:val="both"/>
      </w:pPr>
      <w:r>
        <w:t>JPF-SM mobilise des hypothèses de coûts équivalents en 2021 mais pas de baisse de coûts à l’horizon 2030</w:t>
      </w:r>
      <w:r w:rsidR="00073BDC">
        <w:t>, d’où l’estimation plus basse</w:t>
      </w:r>
      <w:r w:rsidR="00A90996">
        <w:t xml:space="preserve"> en 2030</w:t>
      </w:r>
      <w:r w:rsidR="00F51822">
        <w:t>.</w:t>
      </w:r>
    </w:p>
    <w:p w14:paraId="01613C4F" w14:textId="33C5607A" w:rsidR="00895BA4" w:rsidRPr="00073BDC" w:rsidRDefault="00895BA4" w:rsidP="00073BDC">
      <w:pPr>
        <w:pStyle w:val="Paragraphedeliste"/>
        <w:numPr>
          <w:ilvl w:val="0"/>
          <w:numId w:val="4"/>
        </w:numPr>
        <w:jc w:val="both"/>
        <w:rPr>
          <w:color w:val="FF0000"/>
        </w:rPr>
      </w:pPr>
      <w:commentRangeStart w:id="2"/>
      <w:r>
        <w:t xml:space="preserve">I4CE et Trésor mobilisent des hypothèses </w:t>
      </w:r>
      <w:r w:rsidR="004F031D">
        <w:t xml:space="preserve">relativement similaires, mais </w:t>
      </w:r>
      <w:r w:rsidR="00073BDC">
        <w:t xml:space="preserve">simplement des prix </w:t>
      </w:r>
      <w:r w:rsidR="004F031D">
        <w:t xml:space="preserve">plus élevés dans les VUL en 2030 </w:t>
      </w:r>
      <w:r w:rsidR="00073BDC">
        <w:t xml:space="preserve">pour I4CE </w:t>
      </w:r>
      <w:r w:rsidR="004F031D">
        <w:t xml:space="preserve">(car </w:t>
      </w:r>
      <w:r w:rsidR="00073BDC">
        <w:t>peu</w:t>
      </w:r>
      <w:r w:rsidR="004F031D">
        <w:t xml:space="preserve"> de </w:t>
      </w:r>
      <w:r w:rsidR="00073BDC">
        <w:t>baisses de</w:t>
      </w:r>
      <w:r w:rsidR="004F031D">
        <w:t xml:space="preserve"> prix des VUL) </w:t>
      </w:r>
      <w:commentRangeEnd w:id="2"/>
      <w:r w:rsidR="00073BDC">
        <w:rPr>
          <w:rStyle w:val="Marquedecommentaire"/>
        </w:rPr>
        <w:commentReference w:id="2"/>
      </w:r>
    </w:p>
    <w:p w14:paraId="1E9C3E94" w14:textId="40807FC8" w:rsidR="00D1136F" w:rsidRDefault="00D1136F" w:rsidP="00DF1D85">
      <w:pPr>
        <w:pStyle w:val="Paragraphedeliste"/>
        <w:numPr>
          <w:ilvl w:val="0"/>
          <w:numId w:val="4"/>
        </w:numPr>
        <w:jc w:val="both"/>
      </w:pPr>
      <w:commentRangeStart w:id="3"/>
      <w:r w:rsidRPr="002C2546">
        <w:t xml:space="preserve">Investissements très </w:t>
      </w:r>
      <w:r w:rsidR="002C2546" w:rsidRPr="002C2546">
        <w:t xml:space="preserve">faibles dans </w:t>
      </w:r>
      <w:proofErr w:type="spellStart"/>
      <w:r w:rsidR="002C2546" w:rsidRPr="002C2546">
        <w:t>ThreeME</w:t>
      </w:r>
      <w:proofErr w:type="spellEnd"/>
      <w:r w:rsidR="002C2546">
        <w:t xml:space="preserve"> par rapport aux autres études </w:t>
      </w:r>
      <w:commentRangeEnd w:id="3"/>
      <w:r w:rsidR="00DF1D85">
        <w:rPr>
          <w:rStyle w:val="Marquedecommentaire"/>
        </w:rPr>
        <w:commentReference w:id="3"/>
      </w:r>
    </w:p>
    <w:p w14:paraId="746AAAC0" w14:textId="386BE96E" w:rsidR="00D903EC" w:rsidRDefault="00255203" w:rsidP="00D903EC">
      <w:pPr>
        <w:jc w:val="center"/>
      </w:pPr>
      <w:r>
        <w:rPr>
          <w:noProof/>
        </w:rPr>
        <w:lastRenderedPageBreak/>
        <w:drawing>
          <wp:inline distT="0" distB="0" distL="0" distR="0" wp14:anchorId="1EE7030B" wp14:editId="2FF1D318">
            <wp:extent cx="2697372" cy="3476445"/>
            <wp:effectExtent l="0" t="0" r="8255" b="10160"/>
            <wp:docPr id="16" name="Graphique 16">
              <a:extLst xmlns:a="http://schemas.openxmlformats.org/drawingml/2006/main">
                <a:ext uri="{FF2B5EF4-FFF2-40B4-BE49-F238E27FC236}">
                  <a16:creationId xmlns:a16="http://schemas.microsoft.com/office/drawing/2014/main" id="{0B929568-89FB-4CFE-AA56-A6197BE391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384FF39" w14:textId="48398459" w:rsidR="00FE6E6F" w:rsidRPr="001B5AEE" w:rsidRDefault="001B5AEE" w:rsidP="001B5AEE">
      <w:pPr>
        <w:pStyle w:val="Paragraphedeliste"/>
        <w:numPr>
          <w:ilvl w:val="0"/>
          <w:numId w:val="2"/>
        </w:numPr>
        <w:rPr>
          <w:b/>
          <w:bCs/>
        </w:rPr>
      </w:pPr>
      <w:r w:rsidRPr="001B5AEE">
        <w:rPr>
          <w:b/>
          <w:bCs/>
        </w:rPr>
        <w:t>Bâtiments</w:t>
      </w:r>
    </w:p>
    <w:p w14:paraId="322C54C4" w14:textId="37500264" w:rsidR="0005533C" w:rsidRDefault="001B5AEE" w:rsidP="0005533C">
      <w:pPr>
        <w:pStyle w:val="Paragraphedeliste"/>
        <w:numPr>
          <w:ilvl w:val="1"/>
          <w:numId w:val="2"/>
        </w:numPr>
        <w:rPr>
          <w:b/>
          <w:bCs/>
        </w:rPr>
      </w:pPr>
      <w:r w:rsidRPr="001B5AEE">
        <w:rPr>
          <w:b/>
          <w:bCs/>
        </w:rPr>
        <w:t>Résidentiel</w:t>
      </w:r>
    </w:p>
    <w:p w14:paraId="137890B2" w14:textId="77777777" w:rsidR="006E7521" w:rsidRPr="006E7521" w:rsidRDefault="006E7521" w:rsidP="006E7521">
      <w:pPr>
        <w:rPr>
          <w:b/>
          <w:bCs/>
        </w:rPr>
      </w:pPr>
    </w:p>
    <w:p w14:paraId="273F099A" w14:textId="77777777" w:rsidR="00951754" w:rsidRDefault="00707EFD" w:rsidP="0005533C">
      <w:pPr>
        <w:pStyle w:val="Paragraphedeliste"/>
        <w:numPr>
          <w:ilvl w:val="0"/>
          <w:numId w:val="3"/>
        </w:numPr>
        <w:jc w:val="both"/>
      </w:pPr>
      <w:r w:rsidRPr="0005533C">
        <w:t>JPF-SM obtient des besoins plus faibles car mobilise une trajectoire de rénovation discontinue avec plus de rénovations concentrées en début de période.</w:t>
      </w:r>
    </w:p>
    <w:p w14:paraId="76D5CCCD" w14:textId="6421BFBA" w:rsidR="00707EFD" w:rsidRDefault="00707EFD" w:rsidP="0005533C">
      <w:pPr>
        <w:pStyle w:val="Paragraphedeliste"/>
        <w:numPr>
          <w:ilvl w:val="0"/>
          <w:numId w:val="3"/>
        </w:numPr>
        <w:jc w:val="both"/>
      </w:pPr>
      <w:r w:rsidRPr="0005533C">
        <w:t>Trésor mobilise</w:t>
      </w:r>
      <w:r w:rsidR="0005533C">
        <w:t xml:space="preserve"> des coûts de rénovations plus élevés sur la base du rapportage MPR, et</w:t>
      </w:r>
      <w:r w:rsidRPr="0005533C">
        <w:t xml:space="preserve"> un</w:t>
      </w:r>
      <w:r w:rsidR="0005533C">
        <w:t xml:space="preserve"> nombre total </w:t>
      </w:r>
      <w:r w:rsidRPr="0005533C">
        <w:t>de rénovations</w:t>
      </w:r>
      <w:r w:rsidR="0005533C">
        <w:t xml:space="preserve"> relativement similaire mais avec une croissance plus légère des rénovations en début de période reporté en fin de période</w:t>
      </w:r>
      <w:r w:rsidR="00951754">
        <w:t>, d’où les investissements plus élevés en 2030</w:t>
      </w:r>
      <w:r w:rsidR="00102A23">
        <w:t>.</w:t>
      </w:r>
    </w:p>
    <w:p w14:paraId="7DC52C4A" w14:textId="71A71449" w:rsidR="006761D8" w:rsidRDefault="006761D8" w:rsidP="006761D8">
      <w:pPr>
        <w:pStyle w:val="Paragraphedeliste"/>
        <w:numPr>
          <w:ilvl w:val="0"/>
          <w:numId w:val="3"/>
        </w:numPr>
      </w:pPr>
      <w:commentRangeStart w:id="4"/>
      <w:proofErr w:type="spellStart"/>
      <w:r w:rsidRPr="002C2546">
        <w:t>ThreeME</w:t>
      </w:r>
      <w:proofErr w:type="spellEnd"/>
      <w:r>
        <w:t xml:space="preserve"> se situe entre I4CE et Trésor, mais impossibilité de conclure sans plus de données sur le parc.</w:t>
      </w:r>
      <w:r w:rsidRPr="002C2546">
        <w:t xml:space="preserve"> </w:t>
      </w:r>
      <w:commentRangeEnd w:id="4"/>
      <w:r w:rsidR="000F354C">
        <w:rPr>
          <w:rStyle w:val="Marquedecommentaire"/>
        </w:rPr>
        <w:commentReference w:id="4"/>
      </w:r>
      <w:r w:rsidRPr="00A216C3">
        <w:rPr>
          <w:color w:val="FF0000"/>
        </w:rPr>
        <w:t xml:space="preserve"> </w:t>
      </w:r>
    </w:p>
    <w:p w14:paraId="52F5E217" w14:textId="05C8AF52" w:rsidR="00A614E4" w:rsidRPr="00A216C3" w:rsidRDefault="0066604F" w:rsidP="0005533C">
      <w:pPr>
        <w:pStyle w:val="Paragraphedeliste"/>
        <w:numPr>
          <w:ilvl w:val="0"/>
          <w:numId w:val="3"/>
        </w:numPr>
        <w:jc w:val="both"/>
      </w:pPr>
      <w:commentRangeStart w:id="5"/>
      <w:r>
        <w:t>Difficile d’expliquer la comparaison avec I4CE car l</w:t>
      </w:r>
      <w:r w:rsidR="00A614E4">
        <w:t>es investissements pour l</w:t>
      </w:r>
      <w:r w:rsidR="002B2E80">
        <w:t xml:space="preserve">es gestes performants de </w:t>
      </w:r>
      <w:r w:rsidR="00A614E4">
        <w:t xml:space="preserve">rénovation calculés </w:t>
      </w:r>
      <w:r w:rsidR="002B2E80">
        <w:t xml:space="preserve">par i4ce proviennent de </w:t>
      </w:r>
      <w:proofErr w:type="spellStart"/>
      <w:r w:rsidR="002B2E80">
        <w:t>Menfis</w:t>
      </w:r>
      <w:proofErr w:type="spellEnd"/>
      <w:r>
        <w:t>, dont nous n’avons pas les chroniques</w:t>
      </w:r>
      <w:r w:rsidR="002B2E80">
        <w:t xml:space="preserve"> </w:t>
      </w:r>
      <w:commentRangeEnd w:id="5"/>
      <w:r>
        <w:rPr>
          <w:rStyle w:val="Marquedecommentaire"/>
        </w:rPr>
        <w:commentReference w:id="5"/>
      </w:r>
    </w:p>
    <w:p w14:paraId="6F01CA7C" w14:textId="12D64F88" w:rsidR="00FE6E6F" w:rsidRDefault="00255203" w:rsidP="00707EFD">
      <w:pPr>
        <w:jc w:val="center"/>
      </w:pPr>
      <w:r>
        <w:rPr>
          <w:noProof/>
        </w:rPr>
        <w:lastRenderedPageBreak/>
        <w:drawing>
          <wp:inline distT="0" distB="0" distL="0" distR="0" wp14:anchorId="42B5C782" wp14:editId="52B39B6B">
            <wp:extent cx="3629025" cy="3505200"/>
            <wp:effectExtent l="0" t="0" r="9525" b="0"/>
            <wp:docPr id="17" name="Graphique 17">
              <a:extLst xmlns:a="http://schemas.openxmlformats.org/drawingml/2006/main">
                <a:ext uri="{FF2B5EF4-FFF2-40B4-BE49-F238E27FC236}">
                  <a16:creationId xmlns:a16="http://schemas.microsoft.com/office/drawing/2014/main" id="{CE0A2E3D-343C-4EA4-AC2C-4CA94ECD01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2435185" w14:textId="34CE97AD" w:rsidR="00FE6E6F" w:rsidRDefault="00FE64C1" w:rsidP="00FE64C1">
      <w:pPr>
        <w:pStyle w:val="Paragraphedeliste"/>
        <w:numPr>
          <w:ilvl w:val="1"/>
          <w:numId w:val="2"/>
        </w:numPr>
        <w:rPr>
          <w:b/>
          <w:bCs/>
        </w:rPr>
      </w:pPr>
      <w:r w:rsidRPr="003C6689">
        <w:rPr>
          <w:b/>
          <w:bCs/>
        </w:rPr>
        <w:t>Tertiaire</w:t>
      </w:r>
    </w:p>
    <w:p w14:paraId="79DC1AC5" w14:textId="77777777" w:rsidR="005753BC" w:rsidRDefault="005753BC" w:rsidP="006E7521"/>
    <w:p w14:paraId="74E4DF3D" w14:textId="40719777" w:rsidR="005753BC" w:rsidRPr="00CD3118" w:rsidRDefault="005753BC" w:rsidP="00015254">
      <w:pPr>
        <w:pStyle w:val="Paragraphedeliste"/>
        <w:numPr>
          <w:ilvl w:val="0"/>
          <w:numId w:val="3"/>
        </w:numPr>
        <w:jc w:val="both"/>
      </w:pPr>
      <w:commentRangeStart w:id="6"/>
      <w:r w:rsidRPr="005753BC">
        <w:t xml:space="preserve">JPF-SM </w:t>
      </w:r>
      <w:r w:rsidR="0079016B">
        <w:t>mobilise une chronique de rénovation plus élevée (23 </w:t>
      </w:r>
      <w:r w:rsidR="00015254">
        <w:t>M de</w:t>
      </w:r>
      <w:r w:rsidR="0079016B">
        <w:t xml:space="preserve"> </w:t>
      </w:r>
      <w:r w:rsidR="00015254">
        <w:t>m</w:t>
      </w:r>
      <w:r w:rsidR="0079016B">
        <w:t>²/an contre 16 </w:t>
      </w:r>
      <w:r w:rsidR="00015254">
        <w:t>M</w:t>
      </w:r>
      <w:r w:rsidR="0079016B">
        <w:t xml:space="preserve"> </w:t>
      </w:r>
      <w:proofErr w:type="gramStart"/>
      <w:r w:rsidR="0079016B">
        <w:t>dans  S</w:t>
      </w:r>
      <w:proofErr w:type="gramEnd"/>
      <w:r w:rsidR="0079016B">
        <w:t>2 et 19 </w:t>
      </w:r>
      <w:r w:rsidR="00015254">
        <w:t>M</w:t>
      </w:r>
      <w:r w:rsidR="0079016B">
        <w:t xml:space="preserve"> dans S3) donc </w:t>
      </w:r>
      <w:proofErr w:type="spellStart"/>
      <w:r w:rsidR="0079016B">
        <w:t>a</w:t>
      </w:r>
      <w:proofErr w:type="spellEnd"/>
      <w:r w:rsidR="0079016B">
        <w:t xml:space="preserve"> des besoins totaux plus élevés que les scénarios ADEME</w:t>
      </w:r>
      <w:r w:rsidR="008A7168">
        <w:t>, mais le rythme de rénovation est sensiblement similaire à celui d’I4CE (36 </w:t>
      </w:r>
      <w:r w:rsidR="00015254">
        <w:t>M de</w:t>
      </w:r>
      <w:r w:rsidR="008A7168">
        <w:t xml:space="preserve"> m²/an contre 37 </w:t>
      </w:r>
      <w:r w:rsidR="00015254">
        <w:t>M</w:t>
      </w:r>
      <w:r w:rsidR="008A7168">
        <w:t xml:space="preserve"> pour le run2) </w:t>
      </w:r>
      <w:commentRangeEnd w:id="6"/>
      <w:r w:rsidR="00015254">
        <w:rPr>
          <w:rStyle w:val="Marquedecommentaire"/>
        </w:rPr>
        <w:commentReference w:id="6"/>
      </w:r>
    </w:p>
    <w:p w14:paraId="336C7CB6" w14:textId="58C29A76" w:rsidR="00FE64C1" w:rsidRDefault="00CD3118" w:rsidP="00FE64C1">
      <w:pPr>
        <w:pStyle w:val="Paragraphedeliste"/>
        <w:numPr>
          <w:ilvl w:val="0"/>
          <w:numId w:val="3"/>
        </w:numPr>
      </w:pPr>
      <w:commentRangeStart w:id="7"/>
      <w:proofErr w:type="spellStart"/>
      <w:r>
        <w:t>ThreeME</w:t>
      </w:r>
      <w:proofErr w:type="spellEnd"/>
      <w:r>
        <w:t xml:space="preserve"> correspond bien sur le constaté mais pourquoi est-il si différent sur le projeté ? </w:t>
      </w:r>
      <w:commentRangeEnd w:id="7"/>
      <w:r w:rsidR="00C230B7">
        <w:rPr>
          <w:rStyle w:val="Marquedecommentaire"/>
        </w:rPr>
        <w:commentReference w:id="7"/>
      </w:r>
    </w:p>
    <w:p w14:paraId="4751AC3B" w14:textId="04AEF0AD" w:rsidR="00FE64C1" w:rsidRDefault="00255203" w:rsidP="00FE64C1">
      <w:pPr>
        <w:jc w:val="center"/>
      </w:pPr>
      <w:r>
        <w:rPr>
          <w:noProof/>
        </w:rPr>
        <w:drawing>
          <wp:inline distT="0" distB="0" distL="0" distR="0" wp14:anchorId="4653D352" wp14:editId="18DECCA7">
            <wp:extent cx="3629025" cy="3505200"/>
            <wp:effectExtent l="0" t="0" r="9525" b="0"/>
            <wp:docPr id="18" name="Graphique 18">
              <a:extLst xmlns:a="http://schemas.openxmlformats.org/drawingml/2006/main">
                <a:ext uri="{FF2B5EF4-FFF2-40B4-BE49-F238E27FC236}">
                  <a16:creationId xmlns:a16="http://schemas.microsoft.com/office/drawing/2014/main" id="{84E65D7D-7725-4C1F-BEF3-08D3019C86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93B48F4" w14:textId="5C5904B2" w:rsidR="009D5702" w:rsidRDefault="009D5702" w:rsidP="009D5702">
      <w:pPr>
        <w:pStyle w:val="Paragraphedeliste"/>
        <w:numPr>
          <w:ilvl w:val="0"/>
          <w:numId w:val="2"/>
        </w:numPr>
        <w:rPr>
          <w:b/>
          <w:bCs/>
        </w:rPr>
      </w:pPr>
      <w:r w:rsidRPr="009D5702">
        <w:rPr>
          <w:b/>
          <w:bCs/>
        </w:rPr>
        <w:lastRenderedPageBreak/>
        <w:t xml:space="preserve">Énergie </w:t>
      </w:r>
    </w:p>
    <w:p w14:paraId="7F900D67" w14:textId="77777777" w:rsidR="009D5702" w:rsidRDefault="009D5702" w:rsidP="009D5702"/>
    <w:p w14:paraId="72E2C51B" w14:textId="05B8C51E" w:rsidR="009A67FC" w:rsidRDefault="00165CFE" w:rsidP="00E14A5F">
      <w:pPr>
        <w:pStyle w:val="Paragraphedeliste"/>
        <w:numPr>
          <w:ilvl w:val="0"/>
          <w:numId w:val="3"/>
        </w:numPr>
        <w:jc w:val="both"/>
      </w:pPr>
      <w:r>
        <w:t>Trésor supérieur à JPF-SM car prend la borne haute RTE, là où JPF-SM prend la médiane de la revue de littérature Trésor</w:t>
      </w:r>
    </w:p>
    <w:p w14:paraId="726DF42D" w14:textId="73623E15" w:rsidR="00165CFE" w:rsidRDefault="000F7E6B" w:rsidP="00E14A5F">
      <w:pPr>
        <w:pStyle w:val="Paragraphedeliste"/>
        <w:numPr>
          <w:ilvl w:val="0"/>
          <w:numId w:val="3"/>
        </w:numPr>
        <w:jc w:val="both"/>
      </w:pPr>
      <w:proofErr w:type="spellStart"/>
      <w:r>
        <w:t>ThreeME</w:t>
      </w:r>
      <w:proofErr w:type="spellEnd"/>
      <w:r>
        <w:t xml:space="preserve"> reprend les hypothèses RTE pour les coûts CAPEX et OPEX</w:t>
      </w:r>
      <w:r w:rsidR="000C0BCD">
        <w:t>.</w:t>
      </w:r>
      <w:r>
        <w:t xml:space="preserve"> </w:t>
      </w:r>
      <w:r w:rsidR="00CD0319">
        <w:t>Un décalage dans les investissements pourrait aussi provenir du</w:t>
      </w:r>
      <w:r w:rsidR="00165CFE">
        <w:t xml:space="preserve"> temps de déclenchement des projets)</w:t>
      </w:r>
    </w:p>
    <w:p w14:paraId="1C6EC639" w14:textId="17036709" w:rsidR="00165CFE" w:rsidRDefault="00530A90" w:rsidP="009D5702">
      <w:pPr>
        <w:pStyle w:val="Paragraphedeliste"/>
        <w:numPr>
          <w:ilvl w:val="0"/>
          <w:numId w:val="3"/>
        </w:numPr>
      </w:pPr>
      <w:commentRangeStart w:id="8"/>
      <w:r>
        <w:t xml:space="preserve">Seule une partie des investissements en réseaux électriques (6 Md€ pour le total en 2021) est prise en compte dans </w:t>
      </w:r>
      <w:proofErr w:type="spellStart"/>
      <w:r>
        <w:t>ThreeME</w:t>
      </w:r>
      <w:proofErr w:type="spellEnd"/>
      <w:r>
        <w:t xml:space="preserve"> mais elle n’est pas détaillée </w:t>
      </w:r>
      <w:commentRangeEnd w:id="8"/>
      <w:r w:rsidR="00662E7C">
        <w:rPr>
          <w:rStyle w:val="Marquedecommentaire"/>
        </w:rPr>
        <w:commentReference w:id="8"/>
      </w:r>
    </w:p>
    <w:p w14:paraId="5548C3DE" w14:textId="41782F0D" w:rsidR="002B2C3C" w:rsidRDefault="00255203" w:rsidP="00530A90">
      <w:pPr>
        <w:jc w:val="center"/>
      </w:pPr>
      <w:r>
        <w:rPr>
          <w:noProof/>
        </w:rPr>
        <w:drawing>
          <wp:inline distT="0" distB="0" distL="0" distR="0" wp14:anchorId="3AB1DFDD" wp14:editId="54E5E877">
            <wp:extent cx="3629025" cy="4457700"/>
            <wp:effectExtent l="0" t="0" r="9525" b="0"/>
            <wp:docPr id="19" name="Graphique 19">
              <a:extLst xmlns:a="http://schemas.openxmlformats.org/drawingml/2006/main">
                <a:ext uri="{FF2B5EF4-FFF2-40B4-BE49-F238E27FC236}">
                  <a16:creationId xmlns:a16="http://schemas.microsoft.com/office/drawing/2014/main" id="{42583544-E922-481E-995D-A5EE3D03F0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7E98A38" w14:textId="2D146DB3" w:rsidR="00530A90" w:rsidRDefault="006D7B02" w:rsidP="00530A90">
      <w:pPr>
        <w:jc w:val="center"/>
      </w:pPr>
      <w:r>
        <w:rPr>
          <w:noProof/>
        </w:rPr>
        <w:lastRenderedPageBreak/>
        <w:drawing>
          <wp:inline distT="0" distB="0" distL="0" distR="0" wp14:anchorId="03C12A72" wp14:editId="248616A8">
            <wp:extent cx="4572000" cy="2933700"/>
            <wp:effectExtent l="0" t="0" r="0" b="0"/>
            <wp:docPr id="23" name="Graphique 23">
              <a:extLst xmlns:a="http://schemas.openxmlformats.org/drawingml/2006/main">
                <a:ext uri="{FF2B5EF4-FFF2-40B4-BE49-F238E27FC236}">
                  <a16:creationId xmlns:a16="http://schemas.microsoft.com/office/drawing/2014/main" id="{E2349CBE-6E40-42BB-A29F-69F00586BE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E1616D3" w14:textId="7D632C22" w:rsidR="009D5702" w:rsidRDefault="002B2C3C" w:rsidP="002B2C3C">
      <w:pPr>
        <w:pStyle w:val="Paragraphedeliste"/>
        <w:numPr>
          <w:ilvl w:val="0"/>
          <w:numId w:val="2"/>
        </w:numPr>
        <w:rPr>
          <w:b/>
          <w:bCs/>
        </w:rPr>
      </w:pPr>
      <w:r w:rsidRPr="002B2C3C">
        <w:rPr>
          <w:b/>
          <w:bCs/>
        </w:rPr>
        <w:t>Industrie</w:t>
      </w:r>
    </w:p>
    <w:p w14:paraId="76D966C1" w14:textId="267DF7F2" w:rsidR="00AD11FE" w:rsidRDefault="007E08F0" w:rsidP="00AD11FE">
      <w:r>
        <w:t xml:space="preserve">Investissements </w:t>
      </w:r>
      <w:proofErr w:type="spellStart"/>
      <w:r>
        <w:t>ThreeME</w:t>
      </w:r>
      <w:proofErr w:type="spellEnd"/>
      <w:r>
        <w:t xml:space="preserve"> et Agriculture : </w:t>
      </w:r>
    </w:p>
    <w:p w14:paraId="5E0E86AB" w14:textId="3E2F1CF1" w:rsidR="00AD11FE" w:rsidRDefault="00AD11FE" w:rsidP="00AD11FE">
      <w:pPr>
        <w:pStyle w:val="Paragraphedeliste"/>
        <w:numPr>
          <w:ilvl w:val="0"/>
          <w:numId w:val="3"/>
        </w:numPr>
        <w:jc w:val="both"/>
      </w:pPr>
      <w:commentRangeStart w:id="9"/>
      <w:r>
        <w:t xml:space="preserve">Approfondir la signification du calcul ADEME (comment est-il calculé dans </w:t>
      </w:r>
      <w:proofErr w:type="spellStart"/>
      <w:r>
        <w:t>TreeME</w:t>
      </w:r>
      <w:proofErr w:type="spellEnd"/>
      <w:r>
        <w:t> ?)</w:t>
      </w:r>
      <w:commentRangeEnd w:id="9"/>
      <w:r>
        <w:rPr>
          <w:rStyle w:val="Marquedecommentaire"/>
        </w:rPr>
        <w:commentReference w:id="9"/>
      </w:r>
    </w:p>
    <w:p w14:paraId="30760C17" w14:textId="31921FCD" w:rsidR="006D0C29" w:rsidRPr="00AD11FE" w:rsidRDefault="006D0C29" w:rsidP="00AD11FE">
      <w:pPr>
        <w:pStyle w:val="Paragraphedeliste"/>
        <w:numPr>
          <w:ilvl w:val="0"/>
          <w:numId w:val="3"/>
        </w:numPr>
        <w:jc w:val="both"/>
      </w:pPr>
      <w:r>
        <w:t>Différence de +1 Md€ pour Trésor provenant de l’intégration des surcoûts d’Opex</w:t>
      </w:r>
    </w:p>
    <w:p w14:paraId="75A9BE80" w14:textId="330E794E" w:rsidR="00062F9F" w:rsidRPr="00062F9F" w:rsidRDefault="000A1A47" w:rsidP="0050220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D50798E" wp14:editId="0CA394FA">
            <wp:extent cx="3645725" cy="3585845"/>
            <wp:effectExtent l="0" t="0" r="12065" b="14605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98D7A3D4-40D4-41BF-AB3E-578C25A3C8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5EEA29A" w14:textId="2AE72854" w:rsidR="002B2C3C" w:rsidRDefault="002B2C3C" w:rsidP="002B2C3C">
      <w:pPr>
        <w:pStyle w:val="Paragraphedeliste"/>
        <w:numPr>
          <w:ilvl w:val="0"/>
          <w:numId w:val="2"/>
        </w:numPr>
        <w:rPr>
          <w:b/>
          <w:bCs/>
        </w:rPr>
      </w:pPr>
      <w:r w:rsidRPr="002B2C3C">
        <w:rPr>
          <w:b/>
          <w:bCs/>
        </w:rPr>
        <w:t>Agriculture et forêt</w:t>
      </w:r>
    </w:p>
    <w:p w14:paraId="0102EEB1" w14:textId="77777777" w:rsidR="00AD11FE" w:rsidRPr="00AD11FE" w:rsidRDefault="00AD11FE" w:rsidP="00AD11FE">
      <w:pPr>
        <w:ind w:left="360"/>
        <w:rPr>
          <w:b/>
          <w:bCs/>
        </w:rPr>
      </w:pPr>
    </w:p>
    <w:p w14:paraId="5EE0D5DF" w14:textId="6F63736F" w:rsidR="002B2C3C" w:rsidRDefault="006557A0" w:rsidP="00AD11FE">
      <w:pPr>
        <w:pStyle w:val="Paragraphedeliste"/>
        <w:numPr>
          <w:ilvl w:val="0"/>
          <w:numId w:val="3"/>
        </w:numPr>
      </w:pPr>
      <w:commentRangeStart w:id="10"/>
      <w:r>
        <w:t xml:space="preserve">Approfondir </w:t>
      </w:r>
      <w:r w:rsidR="00AA3D4F">
        <w:t xml:space="preserve">la signification du calcul ADEME </w:t>
      </w:r>
      <w:commentRangeEnd w:id="10"/>
      <w:r w:rsidR="00D540CE">
        <w:rPr>
          <w:rStyle w:val="Marquedecommentaire"/>
        </w:rPr>
        <w:commentReference w:id="10"/>
      </w:r>
    </w:p>
    <w:p w14:paraId="61103223" w14:textId="59A72D32" w:rsidR="007A011F" w:rsidRDefault="008C0CB2" w:rsidP="00502201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7DBFD6" wp14:editId="4BD597F3">
            <wp:extent cx="3629025" cy="4267200"/>
            <wp:effectExtent l="0" t="0" r="9525" b="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1A8DBD49-5254-49CA-8F71-59AA8CC06B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888A9AD" w14:textId="77777777" w:rsidR="00F735E3" w:rsidRDefault="00F735E3">
      <w:pPr>
        <w:rPr>
          <w:b/>
          <w:bCs/>
        </w:rPr>
      </w:pPr>
      <w:r>
        <w:rPr>
          <w:b/>
          <w:bCs/>
        </w:rPr>
        <w:br w:type="page"/>
      </w:r>
    </w:p>
    <w:p w14:paraId="61C83C21" w14:textId="30FE33CD" w:rsidR="00DF4780" w:rsidRDefault="00F735E3" w:rsidP="009D5702">
      <w:pPr>
        <w:rPr>
          <w:b/>
          <w:bCs/>
        </w:rPr>
      </w:pPr>
      <w:commentRangeStart w:id="11"/>
      <w:r>
        <w:rPr>
          <w:b/>
          <w:bCs/>
        </w:rPr>
        <w:lastRenderedPageBreak/>
        <w:t xml:space="preserve">Annexe - </w:t>
      </w:r>
      <w:r w:rsidR="007A011F">
        <w:rPr>
          <w:b/>
          <w:bCs/>
        </w:rPr>
        <w:t xml:space="preserve">Rappel des comparaisons des </w:t>
      </w:r>
      <w:r>
        <w:rPr>
          <w:b/>
          <w:bCs/>
        </w:rPr>
        <w:t>définitions d’investissements bas-carbone dans les modèles</w:t>
      </w:r>
      <w:r w:rsidR="00CC08CA">
        <w:rPr>
          <w:b/>
          <w:bCs/>
        </w:rPr>
        <w:t xml:space="preserve"> v2</w:t>
      </w:r>
      <w:commentRangeEnd w:id="11"/>
      <w:r w:rsidR="00191D22">
        <w:rPr>
          <w:rStyle w:val="Marquedecommentaire"/>
        </w:rPr>
        <w:commentReference w:id="11"/>
      </w:r>
    </w:p>
    <w:p w14:paraId="5E66C26A" w14:textId="1255F342" w:rsidR="007A011F" w:rsidRPr="009D5702" w:rsidRDefault="007A011F" w:rsidP="009D5702">
      <w:pPr>
        <w:rPr>
          <w:b/>
          <w:bCs/>
        </w:rPr>
      </w:pPr>
      <w:r w:rsidRPr="007A011F">
        <w:rPr>
          <w:b/>
          <w:bCs/>
          <w:noProof/>
        </w:rPr>
        <w:drawing>
          <wp:inline distT="0" distB="0" distL="0" distR="0" wp14:anchorId="0661F649" wp14:editId="5B09FE9C">
            <wp:extent cx="5760720" cy="3338195"/>
            <wp:effectExtent l="0" t="0" r="0" b="0"/>
            <wp:docPr id="8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889478CF-C48D-D074-EBF7-86070D3065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889478CF-C48D-D074-EBF7-86070D3065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011F" w:rsidRPr="009D5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OURMAND Logan" w:date="2024-01-25T21:01:00Z" w:initials="GL">
    <w:p w14:paraId="2121E26B" w14:textId="77777777" w:rsidR="005663C0" w:rsidRDefault="005663C0">
      <w:pPr>
        <w:pStyle w:val="Commentaire"/>
        <w:rPr>
          <w:color w:val="FF0000"/>
        </w:rPr>
      </w:pPr>
      <w:r>
        <w:rPr>
          <w:rStyle w:val="Marquedecommentaire"/>
        </w:rPr>
        <w:annotationRef/>
      </w:r>
      <w:r w:rsidRPr="005663C0">
        <w:rPr>
          <w:color w:val="FF0000"/>
        </w:rPr>
        <w:t xml:space="preserve">@I4CE </w:t>
      </w:r>
    </w:p>
    <w:p w14:paraId="414097FB" w14:textId="5D5F55D0" w:rsidR="005663C0" w:rsidRPr="005663C0" w:rsidRDefault="006F671D">
      <w:pPr>
        <w:pStyle w:val="Commentaire"/>
        <w:rPr>
          <w:color w:val="FF0000"/>
        </w:rPr>
      </w:pPr>
      <w:r>
        <w:t>Vous mobilisez</w:t>
      </w:r>
      <w:r w:rsidR="005663C0" w:rsidRPr="005663C0">
        <w:t xml:space="preserve"> également un progrès plus important sur les prix (-35 % lié à une forte progression de la capacité massique, contre -25% Trésor)</w:t>
      </w:r>
      <w:r>
        <w:t>. Cela provient-il d’une projection de l’observé récent ou d’une traduction des hypothèses des scénarios SNBC ?</w:t>
      </w:r>
    </w:p>
  </w:comment>
  <w:comment w:id="1" w:author="GOURMAND Logan" w:date="2024-01-25T21:17:00Z" w:initials="GL">
    <w:p w14:paraId="7C9280BA" w14:textId="77777777" w:rsidR="0020649D" w:rsidRDefault="0020649D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 w:rsidRPr="0020649D">
        <w:rPr>
          <w:color w:val="FF0000"/>
        </w:rPr>
        <w:t>@Logan</w:t>
      </w:r>
    </w:p>
    <w:p w14:paraId="52CC44CA" w14:textId="73722215" w:rsidR="0020649D" w:rsidRDefault="0020649D">
      <w:pPr>
        <w:pStyle w:val="Commentaire"/>
      </w:pPr>
      <w:r>
        <w:t xml:space="preserve">Possibilité pour le GT de la semaine prochaine de détailler les différences de prix et de parcs dans des graphes (plutôt </w:t>
      </w:r>
      <w:proofErr w:type="gramStart"/>
      <w:r>
        <w:t>que uniquement</w:t>
      </w:r>
      <w:proofErr w:type="gramEnd"/>
      <w:r>
        <w:t xml:space="preserve"> les besoins totaux)</w:t>
      </w:r>
    </w:p>
  </w:comment>
  <w:comment w:id="2" w:author="GOURMAND Logan" w:date="2024-01-25T21:04:00Z" w:initials="GL">
    <w:p w14:paraId="6B97DBAF" w14:textId="77777777" w:rsidR="00073BDC" w:rsidRDefault="00073BDC">
      <w:pPr>
        <w:pStyle w:val="Commentaire"/>
      </w:pPr>
      <w:r>
        <w:rPr>
          <w:rStyle w:val="Marquedecommentaire"/>
        </w:rPr>
        <w:annotationRef/>
      </w:r>
      <w:r w:rsidRPr="00073BDC">
        <w:rPr>
          <w:color w:val="FF0000"/>
        </w:rPr>
        <w:t>@I4CE</w:t>
      </w:r>
    </w:p>
    <w:p w14:paraId="361306E1" w14:textId="3D799404" w:rsidR="00073BDC" w:rsidRDefault="00073BDC">
      <w:pPr>
        <w:pStyle w:val="Commentaire"/>
      </w:pPr>
      <w:r>
        <w:t>Pourquoi une baisse de prix plus faible pour les VUL que les autres véhicules électriques ?</w:t>
      </w:r>
    </w:p>
  </w:comment>
  <w:comment w:id="3" w:author="GOURMAND Logan" w:date="2024-01-25T21:05:00Z" w:initials="GL">
    <w:p w14:paraId="5D071EA1" w14:textId="77777777" w:rsidR="00DF1D85" w:rsidRDefault="00DF1D85">
      <w:pPr>
        <w:pStyle w:val="Commentaire"/>
      </w:pPr>
      <w:r>
        <w:rPr>
          <w:rStyle w:val="Marquedecommentaire"/>
        </w:rPr>
        <w:annotationRef/>
      </w:r>
      <w:r w:rsidRPr="00DF1D85">
        <w:rPr>
          <w:color w:val="FF0000"/>
        </w:rPr>
        <w:t>@ADEME</w:t>
      </w:r>
    </w:p>
    <w:p w14:paraId="1CB2EFBA" w14:textId="2303D1B5" w:rsidR="00DF1D85" w:rsidRDefault="00DF1D85">
      <w:pPr>
        <w:pStyle w:val="Commentaire"/>
      </w:pPr>
      <w:proofErr w:type="spellStart"/>
      <w:r>
        <w:t>ThreeME</w:t>
      </w:r>
      <w:proofErr w:type="spellEnd"/>
      <w:r>
        <w:t xml:space="preserve"> regarde-t-il les VUL également ? Et même si cela provenait du fait que </w:t>
      </w:r>
      <w:proofErr w:type="spellStart"/>
      <w:r>
        <w:t>ThreeME</w:t>
      </w:r>
      <w:proofErr w:type="spellEnd"/>
      <w:r>
        <w:t xml:space="preserve"> ne regarde que les PL, dans les autres </w:t>
      </w:r>
      <w:r w:rsidRPr="00DF1D85">
        <w:t xml:space="preserve">études ils tournent plutôt autour de 1 Md€ en 2030 que 400 M€. D’où cela pourrait-il provenir ? Car les sorties de </w:t>
      </w:r>
      <w:proofErr w:type="spellStart"/>
      <w:r w:rsidRPr="00DF1D85">
        <w:t>ThreeME</w:t>
      </w:r>
      <w:proofErr w:type="spellEnd"/>
      <w:r w:rsidRPr="00DF1D85">
        <w:t xml:space="preserve"> dont nous disposons ne précisent pas les immatriculations annuelles ou les prix des véhicules.</w:t>
      </w:r>
    </w:p>
  </w:comment>
  <w:comment w:id="4" w:author="GOURMAND Logan" w:date="2024-01-25T21:08:00Z" w:initials="GL">
    <w:p w14:paraId="77CB1636" w14:textId="77777777" w:rsidR="000F354C" w:rsidRDefault="000F354C" w:rsidP="000F354C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 w:rsidRPr="00DF1D85">
        <w:rPr>
          <w:color w:val="FF0000"/>
        </w:rPr>
        <w:t>@ADEME</w:t>
      </w:r>
    </w:p>
    <w:p w14:paraId="64A40F06" w14:textId="08825DF1" w:rsidR="000F354C" w:rsidRDefault="000F354C" w:rsidP="00C230B7">
      <w:pPr>
        <w:pStyle w:val="Paragraphedeliste"/>
        <w:ind w:left="0"/>
      </w:pPr>
      <w:r>
        <w:t>Auriez-vous des chroniques de parc plus détaillées ?</w:t>
      </w:r>
      <w:r w:rsidRPr="00DF1D85">
        <w:t xml:space="preserve"> Car les sorties de </w:t>
      </w:r>
      <w:proofErr w:type="spellStart"/>
      <w:r w:rsidRPr="00DF1D85">
        <w:t>ThreeME</w:t>
      </w:r>
      <w:proofErr w:type="spellEnd"/>
      <w:r w:rsidRPr="00DF1D85">
        <w:t xml:space="preserve"> dont nous disposons ne </w:t>
      </w:r>
      <w:r>
        <w:t>les fournissent pas</w:t>
      </w:r>
      <w:r w:rsidRPr="00DF1D85">
        <w:t>.</w:t>
      </w:r>
      <w:r>
        <w:rPr>
          <w:color w:val="FF0000"/>
        </w:rPr>
        <w:t xml:space="preserve"> </w:t>
      </w:r>
      <w:r w:rsidRPr="000F354C">
        <w:t>Nous pourrions tenter d’établir une table commune de coûts de rénovation par changement d’étiquette pour pouvoir comparer les modèles.</w:t>
      </w:r>
    </w:p>
  </w:comment>
  <w:comment w:id="5" w:author="GOURMAND Logan" w:date="2024-01-25T21:07:00Z" w:initials="GL">
    <w:p w14:paraId="1850A582" w14:textId="77777777" w:rsidR="0066604F" w:rsidRDefault="0066604F">
      <w:pPr>
        <w:pStyle w:val="Commentaire"/>
      </w:pPr>
      <w:r>
        <w:rPr>
          <w:rStyle w:val="Marquedecommentaire"/>
        </w:rPr>
        <w:annotationRef/>
      </w:r>
      <w:r w:rsidRPr="0066604F">
        <w:rPr>
          <w:color w:val="FF0000"/>
        </w:rPr>
        <w:t xml:space="preserve">@I4CE </w:t>
      </w:r>
    </w:p>
    <w:p w14:paraId="7EFA985B" w14:textId="01CDB629" w:rsidR="0066604F" w:rsidRDefault="0066604F">
      <w:pPr>
        <w:pStyle w:val="Commentaire"/>
      </w:pPr>
      <w:r w:rsidRPr="0066604F">
        <w:t xml:space="preserve">Possibilité d’avoir ces chroniques ? Nous pouvons également les demander à la DGEC </w:t>
      </w:r>
      <w:proofErr w:type="spellStart"/>
      <w:r w:rsidRPr="0066604F">
        <w:t>Menfis</w:t>
      </w:r>
      <w:proofErr w:type="spellEnd"/>
      <w:r w:rsidRPr="0066604F">
        <w:t xml:space="preserve"> à la DGEC.</w:t>
      </w:r>
    </w:p>
  </w:comment>
  <w:comment w:id="6" w:author="GOURMAND Logan" w:date="2024-01-25T21:12:00Z" w:initials="GL">
    <w:p w14:paraId="6C9D6306" w14:textId="77777777" w:rsidR="00015254" w:rsidRDefault="00015254">
      <w:pPr>
        <w:pStyle w:val="Commentaire"/>
      </w:pPr>
      <w:r>
        <w:rPr>
          <w:rStyle w:val="Marquedecommentaire"/>
        </w:rPr>
        <w:annotationRef/>
      </w:r>
      <w:r w:rsidRPr="00015254">
        <w:rPr>
          <w:color w:val="FF0000"/>
        </w:rPr>
        <w:t xml:space="preserve">@I4CE </w:t>
      </w:r>
    </w:p>
    <w:p w14:paraId="60CC9229" w14:textId="1FF943BB" w:rsidR="00015254" w:rsidRDefault="00015254">
      <w:pPr>
        <w:pStyle w:val="Commentaire"/>
      </w:pPr>
      <w:r w:rsidRPr="00015254">
        <w:t xml:space="preserve">Nous ne comprenons pas pourquoi les coûts de rénovation des enveloppes dans votre annexe </w:t>
      </w:r>
      <w:proofErr w:type="spellStart"/>
      <w:r w:rsidRPr="00015254">
        <w:t>AXTer</w:t>
      </w:r>
      <w:proofErr w:type="spellEnd"/>
      <w:r w:rsidRPr="00015254">
        <w:t xml:space="preserve">, sont plus faibles que les années précédentes (pas de source précisée) </w:t>
      </w:r>
    </w:p>
  </w:comment>
  <w:comment w:id="7" w:author="GOURMAND Logan" w:date="2024-01-25T21:13:00Z" w:initials="GL">
    <w:p w14:paraId="74D5EC34" w14:textId="77777777" w:rsidR="00C230B7" w:rsidRDefault="00C230B7" w:rsidP="00C230B7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 w:rsidRPr="00DF1D85">
        <w:rPr>
          <w:color w:val="FF0000"/>
        </w:rPr>
        <w:t>@ADEME</w:t>
      </w:r>
    </w:p>
    <w:p w14:paraId="36962723" w14:textId="16626B7F" w:rsidR="00C230B7" w:rsidRDefault="00C230B7" w:rsidP="00C230B7">
      <w:pPr>
        <w:pStyle w:val="Paragraphedeliste"/>
        <w:ind w:left="0"/>
      </w:pPr>
      <w:r>
        <w:t>Auriez-vous des chroniques de parc plus détaillées ?</w:t>
      </w:r>
      <w:r w:rsidRPr="00DF1D85">
        <w:t xml:space="preserve"> Car les sorties de </w:t>
      </w:r>
      <w:proofErr w:type="spellStart"/>
      <w:r w:rsidRPr="00DF1D85">
        <w:t>ThreeME</w:t>
      </w:r>
      <w:proofErr w:type="spellEnd"/>
      <w:r w:rsidRPr="00DF1D85">
        <w:t xml:space="preserve"> dont nous disposons ne </w:t>
      </w:r>
      <w:r>
        <w:t>les fournissent pas</w:t>
      </w:r>
      <w:r w:rsidRPr="00DF1D85">
        <w:t>.</w:t>
      </w:r>
      <w:r>
        <w:rPr>
          <w:color w:val="FF0000"/>
        </w:rPr>
        <w:t xml:space="preserve"> </w:t>
      </w:r>
      <w:r w:rsidRPr="000F354C">
        <w:t>Nous pourrions tenter d’établir une table commune de coûts de rénovation par changement d’étiquette pour pouvoir comparer les modèles.</w:t>
      </w:r>
    </w:p>
  </w:comment>
  <w:comment w:id="8" w:author="GOURMAND Logan" w:date="2024-01-25T21:14:00Z" w:initials="GL">
    <w:p w14:paraId="0BE0FEDC" w14:textId="77777777" w:rsidR="00662E7C" w:rsidRDefault="00662E7C">
      <w:pPr>
        <w:pStyle w:val="Commentaire"/>
      </w:pPr>
      <w:r>
        <w:rPr>
          <w:rStyle w:val="Marquedecommentaire"/>
        </w:rPr>
        <w:annotationRef/>
      </w:r>
      <w:r w:rsidRPr="00662E7C">
        <w:rPr>
          <w:color w:val="FF0000"/>
        </w:rPr>
        <w:t>@ADEME</w:t>
      </w:r>
    </w:p>
    <w:p w14:paraId="7894708D" w14:textId="370E8909" w:rsidR="00662E7C" w:rsidRDefault="00662E7C">
      <w:pPr>
        <w:pStyle w:val="Commentaire"/>
      </w:pPr>
      <w:r w:rsidRPr="00662E7C">
        <w:t xml:space="preserve">Cette part climat est-elle prise en compte dans le secteur </w:t>
      </w:r>
      <w:proofErr w:type="spellStart"/>
      <w:r w:rsidRPr="00662E7C">
        <w:t>EnR</w:t>
      </w:r>
      <w:proofErr w:type="spellEnd"/>
      <w:r w:rsidRPr="00662E7C">
        <w:t> ? Comment est-elle calculée ?</w:t>
      </w:r>
    </w:p>
  </w:comment>
  <w:comment w:id="9" w:author="GOURMAND Logan" w:date="2024-01-25T20:43:00Z" w:initials="GL">
    <w:p w14:paraId="4900E36D" w14:textId="77777777" w:rsidR="00AD11FE" w:rsidRDefault="00AD11FE" w:rsidP="00AD11FE">
      <w:pPr>
        <w:pStyle w:val="Commentaire"/>
        <w:rPr>
          <w:color w:val="FF0000"/>
        </w:rPr>
      </w:pPr>
      <w:r>
        <w:rPr>
          <w:rStyle w:val="Marquedecommentaire"/>
        </w:rPr>
        <w:annotationRef/>
      </w:r>
      <w:r>
        <w:t xml:space="preserve">A voir avec </w:t>
      </w:r>
      <w:r w:rsidRPr="00AD11FE">
        <w:rPr>
          <w:color w:val="FF0000"/>
        </w:rPr>
        <w:t>@ADEME</w:t>
      </w:r>
    </w:p>
    <w:p w14:paraId="49E2C0DD" w14:textId="057F305B" w:rsidR="006863CC" w:rsidRDefault="006863CC" w:rsidP="00AD11FE">
      <w:pPr>
        <w:pStyle w:val="Commentaire"/>
      </w:pPr>
      <w:r w:rsidRPr="006863CC">
        <w:t>Demande de l’ADEME de leur fournir également des coûts d’abattements marginaux plus précis</w:t>
      </w:r>
    </w:p>
  </w:comment>
  <w:comment w:id="10" w:author="GOURMAND Logan" w:date="2024-01-25T20:43:00Z" w:initials="GL">
    <w:p w14:paraId="61461B02" w14:textId="5E9A8458" w:rsidR="00D540CE" w:rsidRDefault="00D540CE">
      <w:pPr>
        <w:pStyle w:val="Commentaire"/>
        <w:rPr>
          <w:color w:val="FF0000"/>
        </w:rPr>
      </w:pPr>
      <w:r>
        <w:rPr>
          <w:rStyle w:val="Marquedecommentaire"/>
        </w:rPr>
        <w:annotationRef/>
      </w:r>
      <w:r w:rsidRPr="00AD11FE">
        <w:rPr>
          <w:color w:val="FF0000"/>
        </w:rPr>
        <w:t>@ADEME</w:t>
      </w:r>
    </w:p>
    <w:p w14:paraId="157522FD" w14:textId="3FCAB550" w:rsidR="006E5779" w:rsidRDefault="006E5779">
      <w:pPr>
        <w:pStyle w:val="Commentaire"/>
      </w:pPr>
      <w:r>
        <w:t xml:space="preserve">Nous ne comprenons pas comment il est </w:t>
      </w:r>
      <w:r w:rsidRPr="006E5779">
        <w:t xml:space="preserve">calculé dans </w:t>
      </w:r>
      <w:proofErr w:type="spellStart"/>
      <w:r w:rsidRPr="006E5779">
        <w:t>TreeME</w:t>
      </w:r>
      <w:proofErr w:type="spellEnd"/>
    </w:p>
  </w:comment>
  <w:comment w:id="11" w:author="GOURMAND Logan" w:date="2024-01-25T20:31:00Z" w:initials="GL">
    <w:p w14:paraId="68F29B2C" w14:textId="6FE18155" w:rsidR="00191D22" w:rsidRDefault="00191D22">
      <w:pPr>
        <w:pStyle w:val="Commentaire"/>
      </w:pPr>
      <w:r>
        <w:rPr>
          <w:rStyle w:val="Marquedecommentaire"/>
        </w:rPr>
        <w:annotationRef/>
      </w:r>
      <w:r>
        <w:t xml:space="preserve">N’est plus à jour (date de l’année dernière) </w:t>
      </w:r>
      <w:r w:rsidRPr="00191D22">
        <w:rPr>
          <w:color w:val="FF0000"/>
        </w:rPr>
        <w:sym w:font="Wingdings" w:char="F0E8"/>
      </w:r>
      <w:r>
        <w:rPr>
          <w:color w:val="FF0000"/>
        </w:rPr>
        <w:t xml:space="preserve"> </w:t>
      </w:r>
      <w:r w:rsidRPr="00191D22">
        <w:rPr>
          <w:color w:val="FF0000"/>
        </w:rPr>
        <w:t xml:space="preserve">Peut-être à actualiser avec la nouvelle version de </w:t>
      </w:r>
      <w:proofErr w:type="spellStart"/>
      <w:r w:rsidRPr="00191D22">
        <w:rPr>
          <w:color w:val="FF0000"/>
        </w:rPr>
        <w:t>ThreeME</w:t>
      </w:r>
      <w:proofErr w:type="spellEnd"/>
      <w:r w:rsidRPr="00191D22">
        <w:rPr>
          <w:color w:val="FF0000"/>
        </w:rPr>
        <w:t>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4097FB" w15:done="0"/>
  <w15:commentEx w15:paraId="52CC44CA" w15:done="0"/>
  <w15:commentEx w15:paraId="361306E1" w15:done="0"/>
  <w15:commentEx w15:paraId="1CB2EFBA" w15:done="0"/>
  <w15:commentEx w15:paraId="64A40F06" w15:done="0"/>
  <w15:commentEx w15:paraId="7EFA985B" w15:done="0"/>
  <w15:commentEx w15:paraId="60CC9229" w15:done="0"/>
  <w15:commentEx w15:paraId="36962723" w15:done="0"/>
  <w15:commentEx w15:paraId="7894708D" w15:done="0"/>
  <w15:commentEx w15:paraId="49E2C0DD" w15:done="0"/>
  <w15:commentEx w15:paraId="157522FD" w15:done="0"/>
  <w15:commentEx w15:paraId="68F29B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5D4AB5" w16cex:dateUtc="2024-01-25T20:01:00Z"/>
  <w16cex:commentExtensible w16cex:durableId="295D4E4D" w16cex:dateUtc="2024-01-25T20:17:00Z"/>
  <w16cex:commentExtensible w16cex:durableId="295D4B6A" w16cex:dateUtc="2024-01-25T20:04:00Z"/>
  <w16cex:commentExtensible w16cex:durableId="295D4B8A" w16cex:dateUtc="2024-01-25T20:05:00Z"/>
  <w16cex:commentExtensible w16cex:durableId="295D4C57" w16cex:dateUtc="2024-01-25T20:08:00Z"/>
  <w16cex:commentExtensible w16cex:durableId="295D4C0F" w16cex:dateUtc="2024-01-25T20:07:00Z"/>
  <w16cex:commentExtensible w16cex:durableId="295D4D22" w16cex:dateUtc="2024-01-25T20:12:00Z"/>
  <w16cex:commentExtensible w16cex:durableId="295D4D7D" w16cex:dateUtc="2024-01-25T20:13:00Z"/>
  <w16cex:commentExtensible w16cex:durableId="295D4D9C" w16cex:dateUtc="2024-01-25T20:14:00Z"/>
  <w16cex:commentExtensible w16cex:durableId="295D46FC" w16cex:dateUtc="2024-01-25T19:43:00Z"/>
  <w16cex:commentExtensible w16cex:durableId="295D465B" w16cex:dateUtc="2024-01-25T19:43:00Z"/>
  <w16cex:commentExtensible w16cex:durableId="295D43A2" w16cex:dateUtc="2024-01-25T1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4097FB" w16cid:durableId="295D4AB5"/>
  <w16cid:commentId w16cid:paraId="52CC44CA" w16cid:durableId="295D4E4D"/>
  <w16cid:commentId w16cid:paraId="361306E1" w16cid:durableId="295D4B6A"/>
  <w16cid:commentId w16cid:paraId="1CB2EFBA" w16cid:durableId="295D4B8A"/>
  <w16cid:commentId w16cid:paraId="64A40F06" w16cid:durableId="295D4C57"/>
  <w16cid:commentId w16cid:paraId="7EFA985B" w16cid:durableId="295D4C0F"/>
  <w16cid:commentId w16cid:paraId="60CC9229" w16cid:durableId="295D4D22"/>
  <w16cid:commentId w16cid:paraId="36962723" w16cid:durableId="295D4D7D"/>
  <w16cid:commentId w16cid:paraId="7894708D" w16cid:durableId="295D4D9C"/>
  <w16cid:commentId w16cid:paraId="49E2C0DD" w16cid:durableId="295D46FC"/>
  <w16cid:commentId w16cid:paraId="157522FD" w16cid:durableId="295D465B"/>
  <w16cid:commentId w16cid:paraId="68F29B2C" w16cid:durableId="295D43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714A"/>
    <w:multiLevelType w:val="hybridMultilevel"/>
    <w:tmpl w:val="AC7EC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C66AE"/>
    <w:multiLevelType w:val="hybridMultilevel"/>
    <w:tmpl w:val="C92AD9B8"/>
    <w:lvl w:ilvl="0" w:tplc="FE327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80595"/>
    <w:multiLevelType w:val="hybridMultilevel"/>
    <w:tmpl w:val="3B4AEB26"/>
    <w:lvl w:ilvl="0" w:tplc="43A0CF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E09B7"/>
    <w:multiLevelType w:val="hybridMultilevel"/>
    <w:tmpl w:val="7374A1AA"/>
    <w:lvl w:ilvl="0" w:tplc="43A0CF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555E6"/>
    <w:multiLevelType w:val="hybridMultilevel"/>
    <w:tmpl w:val="40103B3C"/>
    <w:lvl w:ilvl="0" w:tplc="43A0CF0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AA0CEE"/>
    <w:multiLevelType w:val="hybridMultilevel"/>
    <w:tmpl w:val="8F2C3502"/>
    <w:lvl w:ilvl="0" w:tplc="41748B38">
      <w:start w:val="202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OURMAND Logan">
    <w15:presenceInfo w15:providerId="AD" w15:userId="S-1-5-21-3051166709-3485661799-2174785195-509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A5"/>
    <w:rsid w:val="00015254"/>
    <w:rsid w:val="0005399D"/>
    <w:rsid w:val="0005533C"/>
    <w:rsid w:val="00062F9F"/>
    <w:rsid w:val="00064C89"/>
    <w:rsid w:val="00070DDC"/>
    <w:rsid w:val="00073BDC"/>
    <w:rsid w:val="00075E63"/>
    <w:rsid w:val="00090522"/>
    <w:rsid w:val="000906C5"/>
    <w:rsid w:val="00090EFE"/>
    <w:rsid w:val="00096D2F"/>
    <w:rsid w:val="000A1A47"/>
    <w:rsid w:val="000C0BCD"/>
    <w:rsid w:val="000F354C"/>
    <w:rsid w:val="000F7E6B"/>
    <w:rsid w:val="00102A23"/>
    <w:rsid w:val="00165CFE"/>
    <w:rsid w:val="00191D22"/>
    <w:rsid w:val="001A0F09"/>
    <w:rsid w:val="001B4D56"/>
    <w:rsid w:val="001B5AEE"/>
    <w:rsid w:val="001C3B7A"/>
    <w:rsid w:val="0020649D"/>
    <w:rsid w:val="002125CB"/>
    <w:rsid w:val="00245DE3"/>
    <w:rsid w:val="00255203"/>
    <w:rsid w:val="002B2C3C"/>
    <w:rsid w:val="002B2E80"/>
    <w:rsid w:val="002C2546"/>
    <w:rsid w:val="00323395"/>
    <w:rsid w:val="00364361"/>
    <w:rsid w:val="00370333"/>
    <w:rsid w:val="0037717C"/>
    <w:rsid w:val="003C6689"/>
    <w:rsid w:val="003E0177"/>
    <w:rsid w:val="004615B8"/>
    <w:rsid w:val="0046226C"/>
    <w:rsid w:val="004873F5"/>
    <w:rsid w:val="00492A66"/>
    <w:rsid w:val="004F031D"/>
    <w:rsid w:val="00502201"/>
    <w:rsid w:val="00530A90"/>
    <w:rsid w:val="005644F7"/>
    <w:rsid w:val="005663C0"/>
    <w:rsid w:val="005753BC"/>
    <w:rsid w:val="005C6DC2"/>
    <w:rsid w:val="005E4438"/>
    <w:rsid w:val="005E759B"/>
    <w:rsid w:val="00627951"/>
    <w:rsid w:val="0064382A"/>
    <w:rsid w:val="006557A0"/>
    <w:rsid w:val="00662E7C"/>
    <w:rsid w:val="0066604F"/>
    <w:rsid w:val="00674093"/>
    <w:rsid w:val="006761D8"/>
    <w:rsid w:val="006863CC"/>
    <w:rsid w:val="006912D7"/>
    <w:rsid w:val="006A1A44"/>
    <w:rsid w:val="006D0C29"/>
    <w:rsid w:val="006D7B02"/>
    <w:rsid w:val="006E5779"/>
    <w:rsid w:val="006E7521"/>
    <w:rsid w:val="006F671D"/>
    <w:rsid w:val="00704AA3"/>
    <w:rsid w:val="00707EFD"/>
    <w:rsid w:val="0079016B"/>
    <w:rsid w:val="00795A0B"/>
    <w:rsid w:val="007A011F"/>
    <w:rsid w:val="007D351C"/>
    <w:rsid w:val="007E08F0"/>
    <w:rsid w:val="007E1A95"/>
    <w:rsid w:val="008907D9"/>
    <w:rsid w:val="00895BA4"/>
    <w:rsid w:val="008A7168"/>
    <w:rsid w:val="008C0CB2"/>
    <w:rsid w:val="008E2677"/>
    <w:rsid w:val="00902FA5"/>
    <w:rsid w:val="00951754"/>
    <w:rsid w:val="00965D37"/>
    <w:rsid w:val="009A67FC"/>
    <w:rsid w:val="009D5702"/>
    <w:rsid w:val="009F3412"/>
    <w:rsid w:val="00A216C3"/>
    <w:rsid w:val="00A614E4"/>
    <w:rsid w:val="00A90996"/>
    <w:rsid w:val="00AA3D4F"/>
    <w:rsid w:val="00AA63F8"/>
    <w:rsid w:val="00AD11FE"/>
    <w:rsid w:val="00AE1E2B"/>
    <w:rsid w:val="00B154EE"/>
    <w:rsid w:val="00B615B7"/>
    <w:rsid w:val="00B8438F"/>
    <w:rsid w:val="00BA5B31"/>
    <w:rsid w:val="00BE1368"/>
    <w:rsid w:val="00C230B7"/>
    <w:rsid w:val="00C322C5"/>
    <w:rsid w:val="00CC08CA"/>
    <w:rsid w:val="00CD0319"/>
    <w:rsid w:val="00CD3118"/>
    <w:rsid w:val="00CE50F0"/>
    <w:rsid w:val="00D1136F"/>
    <w:rsid w:val="00D139D9"/>
    <w:rsid w:val="00D26315"/>
    <w:rsid w:val="00D4519E"/>
    <w:rsid w:val="00D503CE"/>
    <w:rsid w:val="00D540CE"/>
    <w:rsid w:val="00D903EC"/>
    <w:rsid w:val="00DF1D85"/>
    <w:rsid w:val="00DF4780"/>
    <w:rsid w:val="00E14A5F"/>
    <w:rsid w:val="00E36E74"/>
    <w:rsid w:val="00E538A9"/>
    <w:rsid w:val="00E91B25"/>
    <w:rsid w:val="00E95E28"/>
    <w:rsid w:val="00EB06C7"/>
    <w:rsid w:val="00F17B75"/>
    <w:rsid w:val="00F37D08"/>
    <w:rsid w:val="00F51822"/>
    <w:rsid w:val="00F6267A"/>
    <w:rsid w:val="00F735E3"/>
    <w:rsid w:val="00FA4EC9"/>
    <w:rsid w:val="00FE64C1"/>
    <w:rsid w:val="00FE6E6F"/>
    <w:rsid w:val="00FF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22F5B"/>
  <w15:chartTrackingRefBased/>
  <w15:docId w15:val="{E237F857-284E-4C48-A3A5-F918C337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1A44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707E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07EF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07EF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7E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7EFD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AE1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chart" Target="charts/chart4.xml"/><Relationship Id="rId1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chart" Target="charts/chart3.xml"/><Relationship Id="rId5" Type="http://schemas.openxmlformats.org/officeDocument/2006/relationships/comments" Target="comment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gourmand\SFEC\Plans\SNBC3\GT%20Simulations\Note%20run2\Note%20run2%2024_01\Comparaison%20chiffrag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gourmand\SFEC\Plans\SNBC3\GT%20Simulations\Note%20run2\Note%20run2%2024_01\Comparaison%20chiffrag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gourmand\SFEC\Plans\SNBC3\GT%20Simulations\Note%20run2\Note%20run2%2024_01\Comparaison%20chiffrag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gourmand\SFEC\Plans\SNBC3\GT%20Simulations\Note%20run2\Note%20run2%2024_01\Comparaison%20chiffrag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gourmand\SFEC\Plans\SNBC3\GT%20Simulations\Note%20run2\Note%20run2%2024_01\Comparaison%20chiffrages.xlsx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1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gourmand\SFEC\Plans\SNBC3\GT%20Simulations\Note%20run2\Note%20run2%2024_01\Comparaison%20chiffrag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gourmand\SFEC\Plans\SNBC3\GT%20Simulations\Note%20run2\Note%20run2%2024_01\Comparaison%20chiffrage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gourmand\SFEC\Plans\SNBC3\GT%20Simulations\Note%20run2\Note%20run2%2024_01\Comparaison%20chiffrage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VP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Investissements!$B$4</c:f>
              <c:strCache>
                <c:ptCount val="1"/>
                <c:pt idx="0">
                  <c:v>I4CE run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Investissements!$C$1:$D$1</c:f>
              <c:strCache>
                <c:ptCount val="2"/>
                <c:pt idx="0">
                  <c:v>2021</c:v>
                </c:pt>
                <c:pt idx="1">
                  <c:v>2030 AMS</c:v>
                </c:pt>
              </c:strCache>
              <c:extLst/>
            </c:strRef>
          </c:cat>
          <c:val>
            <c:numRef>
              <c:f>Investissements!$C$4:$D$4</c:f>
              <c:numCache>
                <c:formatCode>0</c:formatCode>
                <c:ptCount val="2"/>
                <c:pt idx="1">
                  <c:v>44.796895171433214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4786-45F7-A07D-3D721B42D97C}"/>
            </c:ext>
          </c:extLst>
        </c:ser>
        <c:ser>
          <c:idx val="2"/>
          <c:order val="2"/>
          <c:tx>
            <c:strRef>
              <c:f>Investissements!$B$5</c:f>
              <c:strCache>
                <c:ptCount val="1"/>
                <c:pt idx="0">
                  <c:v>JPF-SM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Investissements!$C$1:$D$1</c:f>
              <c:strCache>
                <c:ptCount val="2"/>
                <c:pt idx="0">
                  <c:v>2021</c:v>
                </c:pt>
                <c:pt idx="1">
                  <c:v>2030 AMS</c:v>
                </c:pt>
              </c:strCache>
              <c:extLst/>
            </c:strRef>
          </c:cat>
          <c:val>
            <c:numRef>
              <c:f>Investissements!$C$5:$D$5</c:f>
              <c:numCache>
                <c:formatCode>0</c:formatCode>
                <c:ptCount val="2"/>
                <c:pt idx="1">
                  <c:v>40.025050559999997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4786-45F7-A07D-3D721B42D97C}"/>
            </c:ext>
          </c:extLst>
        </c:ser>
        <c:ser>
          <c:idx val="3"/>
          <c:order val="3"/>
          <c:tx>
            <c:strRef>
              <c:f>Investissements!$B$6</c:f>
              <c:strCache>
                <c:ptCount val="1"/>
                <c:pt idx="0">
                  <c:v>Tresor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Investissements!$C$1:$D$1</c:f>
              <c:strCache>
                <c:ptCount val="2"/>
                <c:pt idx="0">
                  <c:v>2021</c:v>
                </c:pt>
                <c:pt idx="1">
                  <c:v>2030 AMS</c:v>
                </c:pt>
              </c:strCache>
              <c:extLst/>
            </c:strRef>
          </c:cat>
          <c:val>
            <c:numRef>
              <c:f>Investissements!$C$6:$D$6</c:f>
              <c:numCache>
                <c:formatCode>0</c:formatCode>
                <c:ptCount val="2"/>
                <c:pt idx="1">
                  <c:v>38.441250000000011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4786-45F7-A07D-3D721B42D97C}"/>
            </c:ext>
          </c:extLst>
        </c:ser>
        <c:ser>
          <c:idx val="5"/>
          <c:order val="5"/>
          <c:tx>
            <c:strRef>
              <c:f>Investissements!$B$8</c:f>
              <c:strCache>
                <c:ptCount val="1"/>
                <c:pt idx="0">
                  <c:v>ThreeME</c:v>
                </c:pt>
              </c:strCache>
            </c:strRef>
          </c:tx>
          <c:spPr>
            <a:solidFill>
              <a:schemeClr val="accent6"/>
            </a:solidFill>
            <a:ln w="25400"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Investissements!$C$1:$D$1</c:f>
              <c:strCache>
                <c:ptCount val="2"/>
                <c:pt idx="0">
                  <c:v>2021</c:v>
                </c:pt>
                <c:pt idx="1">
                  <c:v>2030 AMS</c:v>
                </c:pt>
              </c:strCache>
              <c:extLst/>
            </c:strRef>
          </c:cat>
          <c:val>
            <c:numRef>
              <c:f>Investissements!$C$8:$D$8</c:f>
              <c:numCache>
                <c:formatCode>0</c:formatCode>
                <c:ptCount val="2"/>
                <c:pt idx="0">
                  <c:v>9.6821689302046448</c:v>
                </c:pt>
                <c:pt idx="1">
                  <c:v>42.920201489786876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4786-45F7-A07D-3D721B42D9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76452079"/>
        <c:axId val="276474127"/>
        <c:extLst>
          <c:ext xmlns:c15="http://schemas.microsoft.com/office/drawing/2012/chart" uri="{02D57815-91ED-43cb-92C2-25804820EDAC}">
            <c15:filteredBarSeries>
              <c15:ser>
                <c:idx val="4"/>
                <c:order val="4"/>
                <c:tx>
                  <c:strRef>
                    <c:extLst>
                      <c:ext uri="{02D57815-91ED-43cb-92C2-25804820EDAC}">
                        <c15:formulaRef>
                          <c15:sqref>Investissements!$B$7</c15:sqref>
                        </c15:formulaRef>
                      </c:ext>
                    </c:extLst>
                    <c:strCache>
                      <c:ptCount val="1"/>
                      <c:pt idx="0">
                        <c:v>ThreeME</c:v>
                      </c:pt>
                    </c:strCache>
                  </c:strRef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fr-FR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Investissements!$C$1:$D$1</c15:sqref>
                        </c15:formulaRef>
                      </c:ext>
                    </c:extLst>
                    <c:strCache>
                      <c:ptCount val="2"/>
                      <c:pt idx="0">
                        <c:v>2021</c:v>
                      </c:pt>
                      <c:pt idx="1">
                        <c:v>2030 AMS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Investissements!$C$7:$D$7</c15:sqref>
                        </c15:formulaRef>
                      </c:ext>
                    </c:extLst>
                    <c:numCache>
                      <c:formatCode>0</c:formatCode>
                      <c:ptCount val="2"/>
                      <c:pt idx="0">
                        <c:v>9.2843676150195495</c:v>
                      </c:pt>
                      <c:pt idx="1">
                        <c:v>41.156783321427604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6-4786-45F7-A07D-3D721B42D97C}"/>
                  </c:ext>
                </c:extLst>
              </c15:ser>
            </c15:filteredBarSeries>
          </c:ext>
        </c:extLst>
      </c:barChart>
      <c:lineChart>
        <c:grouping val="standard"/>
        <c:varyColors val="0"/>
        <c:ser>
          <c:idx val="0"/>
          <c:order val="0"/>
          <c:tx>
            <c:strRef>
              <c:f>Investissements!$B$3</c:f>
              <c:strCache>
                <c:ptCount val="1"/>
                <c:pt idx="0">
                  <c:v>I4CE constaté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x"/>
            <c:size val="10"/>
            <c:spPr>
              <a:noFill/>
              <a:ln w="25400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5.4453193350831208E-2"/>
                  <c:y val="-4.471544715447162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786-45F7-A07D-3D721B42D97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Investissements!$C$1:$D$1</c:f>
              <c:strCache>
                <c:ptCount val="2"/>
                <c:pt idx="0">
                  <c:v>2021</c:v>
                </c:pt>
                <c:pt idx="1">
                  <c:v>2030 AMS</c:v>
                </c:pt>
              </c:strCache>
              <c:extLst/>
            </c:strRef>
          </c:cat>
          <c:val>
            <c:numRef>
              <c:f>Investissements!$C$3:$D$3</c:f>
              <c:numCache>
                <c:formatCode>General</c:formatCode>
                <c:ptCount val="2"/>
                <c:pt idx="0" formatCode="0">
                  <c:v>12.278311413422262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5-4786-45F7-A07D-3D721B42D97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76452079"/>
        <c:axId val="276474127"/>
      </c:lineChart>
      <c:catAx>
        <c:axId val="276452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6474127"/>
        <c:crosses val="autoZero"/>
        <c:auto val="1"/>
        <c:lblAlgn val="ctr"/>
        <c:lblOffset val="100"/>
        <c:noMultiLvlLbl val="0"/>
      </c:catAx>
      <c:valAx>
        <c:axId val="276474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6452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 Surcoût VUL, PL</a:t>
            </a:r>
          </a:p>
          <a:p>
            <a:pPr>
              <a:defRPr/>
            </a:pPr>
            <a:r>
              <a:rPr lang="fr-FR" sz="1100"/>
              <a:t>Surcoût par rapport à</a:t>
            </a:r>
            <a:r>
              <a:rPr lang="fr-FR" sz="1100" baseline="0"/>
              <a:t> l'alternative carbonée</a:t>
            </a:r>
            <a:endParaRPr lang="fr-FR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Investissements!$B$18</c:f>
              <c:strCache>
                <c:ptCount val="1"/>
                <c:pt idx="0">
                  <c:v>I4CE run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Investissements!$D$1</c:f>
              <c:strCache>
                <c:ptCount val="1"/>
                <c:pt idx="0">
                  <c:v>2030 AMS</c:v>
                </c:pt>
              </c:strCache>
              <c:extLst/>
            </c:strRef>
          </c:cat>
          <c:val>
            <c:numRef>
              <c:f>Investissements!$D$18</c:f>
              <c:numCache>
                <c:formatCode>0.0</c:formatCode>
                <c:ptCount val="1"/>
                <c:pt idx="0">
                  <c:v>2.2000000000000002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22CE-4BA9-BD39-F6799249BA82}"/>
            </c:ext>
          </c:extLst>
        </c:ser>
        <c:ser>
          <c:idx val="2"/>
          <c:order val="2"/>
          <c:tx>
            <c:strRef>
              <c:f>Investissements!$B$19</c:f>
              <c:strCache>
                <c:ptCount val="1"/>
                <c:pt idx="0">
                  <c:v>JPF-SM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Investissements!$D$1</c:f>
              <c:strCache>
                <c:ptCount val="1"/>
                <c:pt idx="0">
                  <c:v>2030 AMS</c:v>
                </c:pt>
              </c:strCache>
              <c:extLst/>
            </c:strRef>
          </c:cat>
          <c:val>
            <c:numRef>
              <c:f>Investissements!$D$19</c:f>
              <c:numCache>
                <c:formatCode>0.0</c:formatCode>
                <c:ptCount val="1"/>
                <c:pt idx="0">
                  <c:v>4.3873999435267832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22CE-4BA9-BD39-F6799249BA82}"/>
            </c:ext>
          </c:extLst>
        </c:ser>
        <c:ser>
          <c:idx val="3"/>
          <c:order val="3"/>
          <c:tx>
            <c:strRef>
              <c:f>Investissements!$B$20</c:f>
              <c:strCache>
                <c:ptCount val="1"/>
                <c:pt idx="0">
                  <c:v>Tresor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Investissements!$D$1</c:f>
              <c:strCache>
                <c:ptCount val="1"/>
                <c:pt idx="0">
                  <c:v>2030 AMS</c:v>
                </c:pt>
              </c:strCache>
              <c:extLst/>
            </c:strRef>
          </c:cat>
          <c:val>
            <c:numRef>
              <c:f>Investissements!$D$20</c:f>
              <c:numCache>
                <c:formatCode>0.0</c:formatCode>
                <c:ptCount val="1"/>
                <c:pt idx="0">
                  <c:v>1.6886579171055891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22CE-4BA9-BD39-F6799249BA82}"/>
            </c:ext>
          </c:extLst>
        </c:ser>
        <c:ser>
          <c:idx val="5"/>
          <c:order val="5"/>
          <c:tx>
            <c:strRef>
              <c:f>Investissements!$B$22</c:f>
              <c:strCache>
                <c:ptCount val="1"/>
                <c:pt idx="0">
                  <c:v>ThreeME</c:v>
                </c:pt>
              </c:strCache>
            </c:strRef>
          </c:tx>
          <c:spPr>
            <a:solidFill>
              <a:schemeClr val="accent6"/>
            </a:solidFill>
            <a:ln w="25400"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Investissements!$D$1</c:f>
              <c:strCache>
                <c:ptCount val="1"/>
                <c:pt idx="0">
                  <c:v>2030 AMS</c:v>
                </c:pt>
              </c:strCache>
              <c:extLst/>
            </c:strRef>
          </c:cat>
          <c:val>
            <c:numRef>
              <c:f>Investissements!$D$22</c:f>
              <c:numCache>
                <c:formatCode>0</c:formatCode>
                <c:ptCount val="1"/>
                <c:pt idx="0">
                  <c:v>0.497032721588263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22CE-4BA9-BD39-F6799249BA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6452079"/>
        <c:axId val="276474127"/>
        <c:extLst>
          <c:ext xmlns:c15="http://schemas.microsoft.com/office/drawing/2012/chart" uri="{02D57815-91ED-43cb-92C2-25804820EDAC}">
            <c15:filteredBarSeries>
              <c15:ser>
                <c:idx val="4"/>
                <c:order val="4"/>
                <c:tx>
                  <c:strRef>
                    <c:extLst>
                      <c:ext uri="{02D57815-91ED-43cb-92C2-25804820EDAC}">
                        <c15:formulaRef>
                          <c15:sqref>Investissements!$B$21</c15:sqref>
                        </c15:formulaRef>
                      </c:ext>
                    </c:extLst>
                    <c:strCache>
                      <c:ptCount val="1"/>
                      <c:pt idx="0">
                        <c:v>ThreeME</c:v>
                      </c:pt>
                    </c:strCache>
                  </c:strRef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fr-FR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Investissements!$D$1</c15:sqref>
                        </c15:formulaRef>
                      </c:ext>
                    </c:extLst>
                    <c:strCache>
                      <c:ptCount val="1"/>
                      <c:pt idx="0">
                        <c:v>2030 AMS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Investissements!$D$21</c15:sqref>
                        </c15:formulaRef>
                      </c:ext>
                    </c:extLst>
                    <c:numCache>
                      <c:formatCode>0.0</c:formatCode>
                      <c:ptCount val="1"/>
                      <c:pt idx="0">
                        <c:v>0.476611649433549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5-22CE-4BA9-BD39-F6799249BA82}"/>
                  </c:ext>
                </c:extLst>
              </c15:ser>
            </c15:filteredBarSeries>
          </c:ext>
        </c:extLst>
      </c:barChart>
      <c:lineChart>
        <c:grouping val="standard"/>
        <c:varyColors val="0"/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76452079"/>
        <c:axId val="27647412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Investissements!$B$17</c15:sqref>
                        </c15:formulaRef>
                      </c:ext>
                    </c:extLst>
                    <c:strCache>
                      <c:ptCount val="1"/>
                      <c:pt idx="0">
                        <c:v>I4CE constaté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25400">
                      <a:solidFill>
                        <a:schemeClr val="accent2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fr-FR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Investissements!$D$1</c15:sqref>
                        </c15:formulaRef>
                      </c:ext>
                    </c:extLst>
                    <c:strCache>
                      <c:ptCount val="1"/>
                      <c:pt idx="0">
                        <c:v>2030 AMS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Investissements!$D$17</c15:sqref>
                        </c15:formulaRef>
                      </c:ext>
                    </c:extLst>
                    <c:numCache>
                      <c:formatCode>0</c:formatCode>
                      <c:ptCount val="1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22CE-4BA9-BD39-F6799249BA82}"/>
                  </c:ext>
                </c:extLst>
              </c15:ser>
            </c15:filteredLineSeries>
          </c:ext>
        </c:extLst>
      </c:lineChart>
      <c:catAx>
        <c:axId val="276452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6474127"/>
        <c:crosses val="autoZero"/>
        <c:auto val="1"/>
        <c:lblAlgn val="ctr"/>
        <c:lblOffset val="100"/>
        <c:noMultiLvlLbl val="0"/>
      </c:catAx>
      <c:valAx>
        <c:axId val="276474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6452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Résidentiel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Investissements!$B$29</c:f>
              <c:strCache>
                <c:ptCount val="1"/>
                <c:pt idx="0">
                  <c:v>I4CE run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Investissements!$C$1:$D$1</c:f>
              <c:strCache>
                <c:ptCount val="2"/>
                <c:pt idx="0">
                  <c:v>2021</c:v>
                </c:pt>
                <c:pt idx="1">
                  <c:v>2030 AMS</c:v>
                </c:pt>
              </c:strCache>
              <c:extLst/>
            </c:strRef>
          </c:cat>
          <c:val>
            <c:numRef>
              <c:f>Investissements!$C$29:$D$29</c:f>
              <c:numCache>
                <c:formatCode>0</c:formatCode>
                <c:ptCount val="2"/>
                <c:pt idx="1">
                  <c:v>31.2189798208145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3CB3-4D19-AFF6-466243F675B4}"/>
            </c:ext>
          </c:extLst>
        </c:ser>
        <c:ser>
          <c:idx val="2"/>
          <c:order val="2"/>
          <c:tx>
            <c:strRef>
              <c:f>Investissements!$B$30</c:f>
              <c:strCache>
                <c:ptCount val="1"/>
                <c:pt idx="0">
                  <c:v>JPF-SM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Investissements!$C$1:$D$1</c:f>
              <c:strCache>
                <c:ptCount val="2"/>
                <c:pt idx="0">
                  <c:v>2021</c:v>
                </c:pt>
                <c:pt idx="1">
                  <c:v>2030 AMS</c:v>
                </c:pt>
              </c:strCache>
              <c:extLst/>
            </c:strRef>
          </c:cat>
          <c:val>
            <c:numRef>
              <c:f>Investissements!$C$30:$D$30</c:f>
              <c:numCache>
                <c:formatCode>0</c:formatCode>
                <c:ptCount val="2"/>
                <c:pt idx="1">
                  <c:v>26.6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3CB3-4D19-AFF6-466243F675B4}"/>
            </c:ext>
          </c:extLst>
        </c:ser>
        <c:ser>
          <c:idx val="3"/>
          <c:order val="3"/>
          <c:tx>
            <c:strRef>
              <c:f>Investissements!$B$31</c:f>
              <c:strCache>
                <c:ptCount val="1"/>
                <c:pt idx="0">
                  <c:v>Tresor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Investissements!$C$1:$D$1</c:f>
              <c:strCache>
                <c:ptCount val="2"/>
                <c:pt idx="0">
                  <c:v>2021</c:v>
                </c:pt>
                <c:pt idx="1">
                  <c:v>2030 AMS</c:v>
                </c:pt>
              </c:strCache>
              <c:extLst/>
            </c:strRef>
          </c:cat>
          <c:val>
            <c:numRef>
              <c:f>Investissements!$C$31:$D$31</c:f>
              <c:numCache>
                <c:formatCode>0</c:formatCode>
                <c:ptCount val="2"/>
                <c:pt idx="1">
                  <c:v>36.564896884627707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3CB3-4D19-AFF6-466243F675B4}"/>
            </c:ext>
          </c:extLst>
        </c:ser>
        <c:ser>
          <c:idx val="5"/>
          <c:order val="5"/>
          <c:tx>
            <c:strRef>
              <c:f>Investissements!$B$33</c:f>
              <c:strCache>
                <c:ptCount val="1"/>
                <c:pt idx="0">
                  <c:v>ThreeME</c:v>
                </c:pt>
              </c:strCache>
            </c:strRef>
          </c:tx>
          <c:spPr>
            <a:solidFill>
              <a:schemeClr val="accent6"/>
            </a:solidFill>
            <a:ln w="25400"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Investissements!$C$1:$D$1</c:f>
              <c:strCache>
                <c:ptCount val="2"/>
                <c:pt idx="0">
                  <c:v>2021</c:v>
                </c:pt>
                <c:pt idx="1">
                  <c:v>2030 AMS</c:v>
                </c:pt>
              </c:strCache>
              <c:extLst/>
            </c:strRef>
          </c:cat>
          <c:val>
            <c:numRef>
              <c:f>Investissements!$C$33:$D$33</c:f>
              <c:numCache>
                <c:formatCode>0</c:formatCode>
                <c:ptCount val="2"/>
                <c:pt idx="0">
                  <c:v>20.707975643832604</c:v>
                </c:pt>
                <c:pt idx="1">
                  <c:v>35.234176842882029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3CB3-4D19-AFF6-466243F675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6452079"/>
        <c:axId val="276474127"/>
        <c:extLst>
          <c:ext xmlns:c15="http://schemas.microsoft.com/office/drawing/2012/chart" uri="{02D57815-91ED-43cb-92C2-25804820EDAC}">
            <c15:filteredBarSeries>
              <c15:ser>
                <c:idx val="4"/>
                <c:order val="4"/>
                <c:tx>
                  <c:strRef>
                    <c:extLst>
                      <c:ext uri="{02D57815-91ED-43cb-92C2-25804820EDAC}">
                        <c15:formulaRef>
                          <c15:sqref>Investissements!$B$32</c15:sqref>
                        </c15:formulaRef>
                      </c:ext>
                    </c:extLst>
                    <c:strCache>
                      <c:ptCount val="1"/>
                      <c:pt idx="0">
                        <c:v>ThreeME</c:v>
                      </c:pt>
                    </c:strCache>
                  </c:strRef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fr-FR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Investissements!$C$1:$D$1</c15:sqref>
                        </c15:formulaRef>
                      </c:ext>
                    </c:extLst>
                    <c:strCache>
                      <c:ptCount val="2"/>
                      <c:pt idx="0">
                        <c:v>2021</c:v>
                      </c:pt>
                      <c:pt idx="1">
                        <c:v>2030 AMS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Investissements!$C$32:$D$32</c15:sqref>
                        </c15:formulaRef>
                      </c:ext>
                    </c:extLst>
                    <c:numCache>
                      <c:formatCode>0</c:formatCode>
                      <c:ptCount val="2"/>
                      <c:pt idx="0">
                        <c:v>19.857168349999998</c:v>
                      </c:pt>
                      <c:pt idx="1">
                        <c:v>33.7865464628917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6-3CB3-4D19-AFF6-466243F675B4}"/>
                  </c:ext>
                </c:extLst>
              </c15:ser>
            </c15:filteredBarSeries>
          </c:ext>
        </c:extLst>
      </c:barChart>
      <c:lineChart>
        <c:grouping val="standard"/>
        <c:varyColors val="0"/>
        <c:ser>
          <c:idx val="0"/>
          <c:order val="0"/>
          <c:tx>
            <c:strRef>
              <c:f>Investissements!$B$28</c:f>
              <c:strCache>
                <c:ptCount val="1"/>
                <c:pt idx="0">
                  <c:v>I4CE constaté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10"/>
            <c:spPr>
              <a:noFill/>
              <a:ln w="25400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4.3954505686789186E-2"/>
                  <c:y val="-9.7560975609756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CB3-4D19-AFF6-466243F675B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Investissements!$C$1:$D$1</c:f>
              <c:strCache>
                <c:ptCount val="2"/>
                <c:pt idx="0">
                  <c:v>2021</c:v>
                </c:pt>
                <c:pt idx="1">
                  <c:v>2030 AMS</c:v>
                </c:pt>
              </c:strCache>
              <c:extLst/>
            </c:strRef>
          </c:cat>
          <c:val>
            <c:numRef>
              <c:f>Investissements!$C$28:$D$28</c:f>
              <c:numCache>
                <c:formatCode>General</c:formatCode>
                <c:ptCount val="2"/>
                <c:pt idx="0" formatCode="0">
                  <c:v>15.194627915081327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5-3CB3-4D19-AFF6-466243F675B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76452079"/>
        <c:axId val="276474127"/>
      </c:lineChart>
      <c:catAx>
        <c:axId val="276452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6474127"/>
        <c:crosses val="autoZero"/>
        <c:auto val="1"/>
        <c:lblAlgn val="ctr"/>
        <c:lblOffset val="100"/>
        <c:noMultiLvlLbl val="0"/>
      </c:catAx>
      <c:valAx>
        <c:axId val="276474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6452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Tertiaire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Investissements!$B$36</c:f>
              <c:strCache>
                <c:ptCount val="1"/>
                <c:pt idx="0">
                  <c:v>I4CE run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Investissements!$C$1:$D$1</c:f>
              <c:strCache>
                <c:ptCount val="2"/>
                <c:pt idx="0">
                  <c:v>2021</c:v>
                </c:pt>
                <c:pt idx="1">
                  <c:v>2030 AMS</c:v>
                </c:pt>
              </c:strCache>
              <c:extLst/>
            </c:strRef>
          </c:cat>
          <c:val>
            <c:numRef>
              <c:f>Investissements!$C$36:$D$36</c:f>
              <c:numCache>
                <c:formatCode>0.0</c:formatCode>
                <c:ptCount val="2"/>
                <c:pt idx="1">
                  <c:v>22.258019933966832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8882-4F3F-B36B-66EE92D4F9CF}"/>
            </c:ext>
          </c:extLst>
        </c:ser>
        <c:ser>
          <c:idx val="2"/>
          <c:order val="2"/>
          <c:tx>
            <c:strRef>
              <c:f>Investissements!$B$37</c:f>
              <c:strCache>
                <c:ptCount val="1"/>
                <c:pt idx="0">
                  <c:v>JPF-SM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Investissements!$C$1:$D$1</c:f>
              <c:strCache>
                <c:ptCount val="2"/>
                <c:pt idx="0">
                  <c:v>2021</c:v>
                </c:pt>
                <c:pt idx="1">
                  <c:v>2030 AMS</c:v>
                </c:pt>
              </c:strCache>
              <c:extLst/>
            </c:strRef>
          </c:cat>
          <c:val>
            <c:numRef>
              <c:f>Investissements!$C$37:$D$37</c:f>
              <c:numCache>
                <c:formatCode>0.0</c:formatCode>
                <c:ptCount val="2"/>
                <c:pt idx="1">
                  <c:v>27.167401494723016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8882-4F3F-B36B-66EE92D4F9CF}"/>
            </c:ext>
          </c:extLst>
        </c:ser>
        <c:ser>
          <c:idx val="5"/>
          <c:order val="5"/>
          <c:tx>
            <c:strRef>
              <c:f>Investissements!$B$40</c:f>
              <c:strCache>
                <c:ptCount val="1"/>
                <c:pt idx="0">
                  <c:v>ThreeME</c:v>
                </c:pt>
              </c:strCache>
            </c:strRef>
          </c:tx>
          <c:spPr>
            <a:solidFill>
              <a:schemeClr val="accent6"/>
            </a:solidFill>
            <a:ln w="25400"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Investissements!$C$1:$D$1</c:f>
              <c:strCache>
                <c:ptCount val="2"/>
                <c:pt idx="0">
                  <c:v>2021</c:v>
                </c:pt>
                <c:pt idx="1">
                  <c:v>2030 AMS</c:v>
                </c:pt>
              </c:strCache>
              <c:extLst/>
            </c:strRef>
          </c:cat>
          <c:val>
            <c:numRef>
              <c:f>Investissements!$C$40:$D$40</c:f>
              <c:numCache>
                <c:formatCode>0</c:formatCode>
                <c:ptCount val="2"/>
                <c:pt idx="0">
                  <c:v>5.4801823550642146</c:v>
                </c:pt>
                <c:pt idx="1">
                  <c:v>15.516861858271165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8882-4F3F-B36B-66EE92D4F9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6452079"/>
        <c:axId val="276474127"/>
        <c:extLst>
          <c:ext xmlns:c15="http://schemas.microsoft.com/office/drawing/2012/chart" uri="{02D57815-91ED-43cb-92C2-25804820EDAC}">
            <c15:filteredBa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Investissements!$B$38</c15:sqref>
                        </c15:formulaRef>
                      </c:ext>
                    </c:extLst>
                    <c:strCache>
                      <c:ptCount val="1"/>
                      <c:pt idx="0">
                        <c:v>Tresor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fr-FR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Investissements!$C$1:$D$1</c15:sqref>
                        </c15:formulaRef>
                      </c:ext>
                    </c:extLst>
                    <c:strCache>
                      <c:ptCount val="2"/>
                      <c:pt idx="0">
                        <c:v>2021</c:v>
                      </c:pt>
                      <c:pt idx="1">
                        <c:v>2030 AMS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Investissements!$C$38:$D$38</c15:sqref>
                        </c15:formulaRef>
                      </c:ext>
                    </c:extLst>
                    <c:numCache>
                      <c:formatCode>General</c:formatCode>
                      <c:ptCount val="2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5-8882-4F3F-B36B-66EE92D4F9CF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Investissements!$B$39</c15:sqref>
                        </c15:formulaRef>
                      </c:ext>
                    </c:extLst>
                    <c:strCache>
                      <c:ptCount val="1"/>
                      <c:pt idx="0">
                        <c:v>ThreeME</c:v>
                      </c:pt>
                    </c:strCache>
                  </c:strRef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fr-FR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Investissements!$C$1:$D$1</c15:sqref>
                        </c15:formulaRef>
                      </c:ext>
                    </c:extLst>
                    <c:strCache>
                      <c:ptCount val="2"/>
                      <c:pt idx="0">
                        <c:v>2021</c:v>
                      </c:pt>
                      <c:pt idx="1">
                        <c:v>2030 AMS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Investissements!$C$39:$D$39</c15:sqref>
                        </c15:formulaRef>
                      </c:ext>
                    </c:extLst>
                    <c:numCache>
                      <c:formatCode>0.0</c:formatCode>
                      <c:ptCount val="2"/>
                      <c:pt idx="0">
                        <c:v>5.2550237398805999</c:v>
                      </c:pt>
                      <c:pt idx="1">
                        <c:v>14.87933651666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8882-4F3F-B36B-66EE92D4F9CF}"/>
                  </c:ext>
                </c:extLst>
              </c15:ser>
            </c15:filteredBarSeries>
          </c:ext>
        </c:extLst>
      </c:barChart>
      <c:lineChart>
        <c:grouping val="standard"/>
        <c:varyColors val="0"/>
        <c:ser>
          <c:idx val="0"/>
          <c:order val="0"/>
          <c:tx>
            <c:strRef>
              <c:f>Investissements!$B$35</c:f>
              <c:strCache>
                <c:ptCount val="1"/>
                <c:pt idx="0">
                  <c:v>I4CE constaté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10"/>
            <c:spPr>
              <a:noFill/>
              <a:ln w="25400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4.7882833543444865E-2"/>
                  <c:y val="-6.504065040650398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882-4F3F-B36B-66EE92D4F9C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Investissements!$C$1:$D$1</c:f>
              <c:strCache>
                <c:ptCount val="2"/>
                <c:pt idx="0">
                  <c:v>2021</c:v>
                </c:pt>
                <c:pt idx="1">
                  <c:v>2030 AMS</c:v>
                </c:pt>
              </c:strCache>
              <c:extLst/>
            </c:strRef>
          </c:cat>
          <c:val>
            <c:numRef>
              <c:f>Investissements!$C$35:$D$35</c:f>
              <c:numCache>
                <c:formatCode>General</c:formatCode>
                <c:ptCount val="2"/>
                <c:pt idx="0" formatCode="0.0">
                  <c:v>5.3661344699355551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4-8882-4F3F-B36B-66EE92D4F9C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76452079"/>
        <c:axId val="276474127"/>
      </c:lineChart>
      <c:catAx>
        <c:axId val="276452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6474127"/>
        <c:crosses val="autoZero"/>
        <c:auto val="1"/>
        <c:lblAlgn val="ctr"/>
        <c:lblOffset val="100"/>
        <c:noMultiLvlLbl val="0"/>
      </c:catAx>
      <c:valAx>
        <c:axId val="276474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6452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Energie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8.3881483318522188E-2"/>
          <c:y val="0.12231707317073173"/>
          <c:w val="0.87762332857999048"/>
          <c:h val="0.6619374559887331"/>
        </c:manualLayout>
      </c:layout>
      <c:barChart>
        <c:barDir val="col"/>
        <c:grouping val="clustered"/>
        <c:varyColors val="0"/>
        <c:ser>
          <c:idx val="1"/>
          <c:order val="1"/>
          <c:tx>
            <c:strRef>
              <c:f>Investissements!$B$49</c:f>
              <c:strCache>
                <c:ptCount val="1"/>
                <c:pt idx="0">
                  <c:v>I4CE run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Investissements!$C$1:$D$1</c:f>
              <c:strCache>
                <c:ptCount val="2"/>
                <c:pt idx="0">
                  <c:v>2021</c:v>
                </c:pt>
                <c:pt idx="1">
                  <c:v>2030 AMS</c:v>
                </c:pt>
              </c:strCache>
              <c:extLst/>
            </c:strRef>
          </c:cat>
          <c:val>
            <c:numRef>
              <c:f>Investissements!$C$49:$D$49</c:f>
              <c:numCache>
                <c:formatCode>General</c:formatCode>
                <c:ptCount val="2"/>
                <c:pt idx="1">
                  <c:v>30.079507974094447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1E15-4ED1-A3AE-60BE96C84415}"/>
            </c:ext>
          </c:extLst>
        </c:ser>
        <c:ser>
          <c:idx val="2"/>
          <c:order val="2"/>
          <c:tx>
            <c:strRef>
              <c:f>Investissements!$B$50</c:f>
              <c:strCache>
                <c:ptCount val="1"/>
                <c:pt idx="0">
                  <c:v>JPF-SM*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Investissements!$C$1:$D$1</c:f>
              <c:strCache>
                <c:ptCount val="2"/>
                <c:pt idx="0">
                  <c:v>2021</c:v>
                </c:pt>
                <c:pt idx="1">
                  <c:v>2030 AMS</c:v>
                </c:pt>
              </c:strCache>
              <c:extLst/>
            </c:strRef>
          </c:cat>
          <c:val>
            <c:numRef>
              <c:f>Investissements!$C$50:$D$50</c:f>
              <c:numCache>
                <c:formatCode>0.0</c:formatCode>
                <c:ptCount val="2"/>
                <c:pt idx="1">
                  <c:v>27.410935349839463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1E15-4ED1-A3AE-60BE96C84415}"/>
            </c:ext>
          </c:extLst>
        </c:ser>
        <c:ser>
          <c:idx val="3"/>
          <c:order val="3"/>
          <c:tx>
            <c:strRef>
              <c:f>Investissements!$B$51</c:f>
              <c:strCache>
                <c:ptCount val="1"/>
                <c:pt idx="0">
                  <c:v>Tresor*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Investissements!$C$1:$D$1</c:f>
              <c:strCache>
                <c:ptCount val="2"/>
                <c:pt idx="0">
                  <c:v>2021</c:v>
                </c:pt>
                <c:pt idx="1">
                  <c:v>2030 AMS</c:v>
                </c:pt>
              </c:strCache>
              <c:extLst/>
            </c:strRef>
          </c:cat>
          <c:val>
            <c:numRef>
              <c:f>Investissements!$C$51:$D$51</c:f>
              <c:numCache>
                <c:formatCode>0.0</c:formatCode>
                <c:ptCount val="2"/>
                <c:pt idx="1">
                  <c:v>35.410935349839463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1E15-4ED1-A3AE-60BE96C84415}"/>
            </c:ext>
          </c:extLst>
        </c:ser>
        <c:ser>
          <c:idx val="4"/>
          <c:order val="4"/>
          <c:tx>
            <c:strRef>
              <c:f>Investissements!$B$52</c:f>
              <c:strCache>
                <c:ptCount val="1"/>
                <c:pt idx="0">
                  <c:v>ThreeME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Investissements!$C$1:$D$1</c:f>
              <c:strCache>
                <c:ptCount val="2"/>
                <c:pt idx="0">
                  <c:v>2021</c:v>
                </c:pt>
                <c:pt idx="1">
                  <c:v>2030 AMS</c:v>
                </c:pt>
              </c:strCache>
              <c:extLst/>
            </c:strRef>
          </c:cat>
          <c:val>
            <c:numRef>
              <c:f>Investissements!$C$52:$D$52</c:f>
              <c:numCache>
                <c:formatCode>General</c:formatCode>
                <c:ptCount val="2"/>
                <c:pt idx="0">
                  <c:v>9.2306073101278798</c:v>
                </c:pt>
                <c:pt idx="1">
                  <c:v>19.542962211846799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1E15-4ED1-A3AE-60BE96C84415}"/>
            </c:ext>
          </c:extLst>
        </c:ser>
        <c:ser>
          <c:idx val="5"/>
          <c:order val="5"/>
          <c:tx>
            <c:strRef>
              <c:f>Investissements!$B$53</c:f>
              <c:strCache>
                <c:ptCount val="1"/>
                <c:pt idx="0">
                  <c:v>ThreeME</c:v>
                </c:pt>
              </c:strCache>
            </c:strRef>
          </c:tx>
          <c:spPr>
            <a:solidFill>
              <a:schemeClr val="accent6"/>
            </a:solidFill>
            <a:ln w="25400">
              <a:noFill/>
            </a:ln>
            <a:effectLst/>
          </c:spPr>
          <c:invertIfNegative val="0"/>
          <c:cat>
            <c:strRef>
              <c:f>Investissements!$C$1:$D$1</c:f>
              <c:strCache>
                <c:ptCount val="2"/>
                <c:pt idx="0">
                  <c:v>2021</c:v>
                </c:pt>
                <c:pt idx="1">
                  <c:v>2030 AMS</c:v>
                </c:pt>
              </c:strCache>
              <c:extLst/>
            </c:strRef>
          </c:cat>
          <c:val>
            <c:numRef>
              <c:f>Investissements!$C$53:$D$53</c:f>
              <c:numCache>
                <c:formatCode>0</c:formatCode>
                <c:ptCount val="2"/>
                <c:pt idx="0">
                  <c:v>9.6261051921791925</c:v>
                </c:pt>
                <c:pt idx="1">
                  <c:v>20.380306917791955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4-1E15-4ED1-A3AE-60BE96C844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6452079"/>
        <c:axId val="276474127"/>
      </c:barChart>
      <c:lineChart>
        <c:grouping val="standard"/>
        <c:varyColors val="0"/>
        <c:ser>
          <c:idx val="0"/>
          <c:order val="0"/>
          <c:tx>
            <c:strRef>
              <c:f>Investissements!$B$48</c:f>
              <c:strCache>
                <c:ptCount val="1"/>
                <c:pt idx="0">
                  <c:v>I4CE constaté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10"/>
            <c:spPr>
              <a:noFill/>
              <a:ln w="25400">
                <a:solidFill>
                  <a:schemeClr val="accent2"/>
                </a:solidFill>
              </a:ln>
              <a:effectLst/>
            </c:spPr>
          </c:marker>
          <c:cat>
            <c:strRef>
              <c:f>Investissements!$C$1:$D$1</c:f>
              <c:strCache>
                <c:ptCount val="2"/>
                <c:pt idx="0">
                  <c:v>2021</c:v>
                </c:pt>
                <c:pt idx="1">
                  <c:v>2030 AMS</c:v>
                </c:pt>
              </c:strCache>
              <c:extLst/>
            </c:strRef>
          </c:cat>
          <c:val>
            <c:numRef>
              <c:f>Investissements!$C$48:$D$48</c:f>
              <c:numCache>
                <c:formatCode>General</c:formatCode>
                <c:ptCount val="2"/>
                <c:pt idx="0" formatCode="0.0">
                  <c:v>18.410935349839463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5-1E15-4ED1-A3AE-60BE96C844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6452079"/>
        <c:axId val="276474127"/>
      </c:lineChart>
      <c:catAx>
        <c:axId val="276452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6474127"/>
        <c:crosses val="autoZero"/>
        <c:auto val="1"/>
        <c:lblAlgn val="ctr"/>
        <c:lblOffset val="100"/>
        <c:noMultiLvlLbl val="0"/>
      </c:catAx>
      <c:valAx>
        <c:axId val="276474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6452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9999931110973332E-2"/>
          <c:y val="0.86636130849497472"/>
          <c:w val="0.62537293074586153"/>
          <c:h val="9.18810148731408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Energie par</a:t>
            </a:r>
            <a:r>
              <a:rPr lang="fr-FR" baseline="0"/>
              <a:t> poste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Investissements!$B$56</c:f>
              <c:strCache>
                <c:ptCount val="1"/>
                <c:pt idx="0">
                  <c:v>I4CE run2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Investissements!$C$54:$H$55</c:f>
              <c:multiLvlStrCache>
                <c:ptCount val="6"/>
                <c:lvl>
                  <c:pt idx="0">
                    <c:v>EnR électriques</c:v>
                  </c:pt>
                  <c:pt idx="1">
                    <c:v>Biométhane, chaleur renouvelable, biocarbs</c:v>
                  </c:pt>
                  <c:pt idx="2">
                    <c:v>Réseaux élec &amp; flexibilités</c:v>
                  </c:pt>
                  <c:pt idx="3">
                    <c:v>EnR électriques</c:v>
                  </c:pt>
                  <c:pt idx="4">
                    <c:v>Biométhane, chaleur renouvelable, biocarbs</c:v>
                  </c:pt>
                  <c:pt idx="5">
                    <c:v>Réseaux élec &amp; flexibilités</c:v>
                  </c:pt>
                </c:lvl>
                <c:lvl>
                  <c:pt idx="0">
                    <c:v>2021</c:v>
                  </c:pt>
                  <c:pt idx="3">
                    <c:v>2030</c:v>
                  </c:pt>
                </c:lvl>
              </c:multiLvlStrCache>
            </c:multiLvlStrRef>
          </c:cat>
          <c:val>
            <c:numRef>
              <c:f>Investissements!$C$56:$H$56</c:f>
              <c:numCache>
                <c:formatCode>General</c:formatCode>
                <c:ptCount val="6"/>
                <c:pt idx="0">
                  <c:v>6.1086706767908225</c:v>
                </c:pt>
                <c:pt idx="1">
                  <c:v>1.4525000548831455</c:v>
                </c:pt>
                <c:pt idx="2" formatCode="0.0">
                  <c:v>6.1315170870402635</c:v>
                </c:pt>
                <c:pt idx="3" formatCode="0.0">
                  <c:v>10.394188382288457</c:v>
                </c:pt>
                <c:pt idx="4">
                  <c:v>2.8771234258794816</c:v>
                </c:pt>
                <c:pt idx="5">
                  <c:v>11.039361824463091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2A-4700-A109-8AA911E1DF28}"/>
            </c:ext>
          </c:extLst>
        </c:ser>
        <c:ser>
          <c:idx val="0"/>
          <c:order val="2"/>
          <c:tx>
            <c:strRef>
              <c:f>Investissements!$B$58</c:f>
              <c:strCache>
                <c:ptCount val="1"/>
                <c:pt idx="0">
                  <c:v>ThreeME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multiLvlStrRef>
              <c:f>Investissements!$C$54:$H$55</c:f>
              <c:multiLvlStrCache>
                <c:ptCount val="6"/>
                <c:lvl>
                  <c:pt idx="0">
                    <c:v>EnR électriques</c:v>
                  </c:pt>
                  <c:pt idx="1">
                    <c:v>Biométhane, chaleur renouvelable, biocarbs</c:v>
                  </c:pt>
                  <c:pt idx="2">
                    <c:v>Réseaux élec &amp; flexibilités</c:v>
                  </c:pt>
                  <c:pt idx="3">
                    <c:v>EnR électriques</c:v>
                  </c:pt>
                  <c:pt idx="4">
                    <c:v>Biométhane, chaleur renouvelable, biocarbs</c:v>
                  </c:pt>
                  <c:pt idx="5">
                    <c:v>Réseaux élec &amp; flexibilités</c:v>
                  </c:pt>
                </c:lvl>
                <c:lvl>
                  <c:pt idx="0">
                    <c:v>2021</c:v>
                  </c:pt>
                  <c:pt idx="3">
                    <c:v>2030</c:v>
                  </c:pt>
                </c:lvl>
              </c:multiLvlStrCache>
            </c:multiLvlStrRef>
          </c:cat>
          <c:val>
            <c:numRef>
              <c:f>Investissements!$C$58:$H$58</c:f>
              <c:numCache>
                <c:formatCode>General</c:formatCode>
                <c:ptCount val="6"/>
                <c:pt idx="0">
                  <c:v>7.4553087623296426</c:v>
                </c:pt>
                <c:pt idx="1">
                  <c:v>2.0574919911671792</c:v>
                </c:pt>
                <c:pt idx="2" formatCode="0.0">
                  <c:v>0</c:v>
                </c:pt>
                <c:pt idx="3" formatCode="0.0">
                  <c:v>14.438460257223742</c:v>
                </c:pt>
                <c:pt idx="4">
                  <c:v>5.9280698193216175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2A-4700-A109-8AA911E1DF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0738879"/>
        <c:axId val="650735135"/>
        <c:extLst>
          <c:ext xmlns:c15="http://schemas.microsoft.com/office/drawing/2012/chart" uri="{02D57815-91ED-43cb-92C2-25804820EDAC}">
            <c15:filteredBarSeries>
              <c15:ser>
                <c:idx val="2"/>
                <c:order val="1"/>
                <c:tx>
                  <c:strRef>
                    <c:extLst>
                      <c:ext uri="{02D57815-91ED-43cb-92C2-25804820EDAC}">
                        <c15:formulaRef>
                          <c15:sqref>Investissements!$B$57</c15:sqref>
                        </c15:formulaRef>
                      </c:ext>
                    </c:extLst>
                    <c:strCache>
                      <c:ptCount val="1"/>
                      <c:pt idx="0">
                        <c:v>ThreeME</c:v>
                      </c:pt>
                    </c:strCache>
                  </c:strRef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uri="{02D57815-91ED-43cb-92C2-25804820EDAC}">
                        <c15:formulaRef>
                          <c15:sqref>Investissements!$C$54:$H$55</c15:sqref>
                        </c15:formulaRef>
                      </c:ext>
                    </c:extLst>
                    <c:multiLvlStrCache>
                      <c:ptCount val="6"/>
                      <c:lvl>
                        <c:pt idx="0">
                          <c:v>EnR électriques</c:v>
                        </c:pt>
                        <c:pt idx="1">
                          <c:v>Biométhane, chaleur renouvelable, biocarbs</c:v>
                        </c:pt>
                        <c:pt idx="2">
                          <c:v>Réseaux élec &amp; flexibilités</c:v>
                        </c:pt>
                        <c:pt idx="3">
                          <c:v>EnR électriques</c:v>
                        </c:pt>
                        <c:pt idx="4">
                          <c:v>Biométhane, chaleur renouvelable, biocarbs</c:v>
                        </c:pt>
                        <c:pt idx="5">
                          <c:v>Réseaux élec &amp; flexibilités</c:v>
                        </c:pt>
                      </c:lvl>
                      <c:lvl>
                        <c:pt idx="0">
                          <c:v>2021</c:v>
                        </c:pt>
                        <c:pt idx="3">
                          <c:v>2030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uri="{02D57815-91ED-43cb-92C2-25804820EDAC}">
                        <c15:formulaRef>
                          <c15:sqref>Investissements!$C$57:$H$57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7.1490001601822701</c:v>
                      </c:pt>
                      <c:pt idx="1">
                        <c:v>1.97295793418375</c:v>
                      </c:pt>
                      <c:pt idx="3" formatCode="0.0">
                        <c:v>13.8452420928873</c:v>
                      </c:pt>
                      <c:pt idx="4">
                        <c:v>5.6845093126175303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ED2A-4700-A109-8AA911E1DF28}"/>
                  </c:ext>
                </c:extLst>
              </c15:ser>
            </c15:filteredBarSeries>
          </c:ext>
        </c:extLst>
      </c:barChart>
      <c:catAx>
        <c:axId val="650738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50735135"/>
        <c:crosses val="autoZero"/>
        <c:auto val="1"/>
        <c:lblAlgn val="ctr"/>
        <c:lblOffset val="100"/>
        <c:noMultiLvlLbl val="0"/>
      </c:catAx>
      <c:valAx>
        <c:axId val="650735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50738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Surcoût Industrie</a:t>
            </a:r>
            <a:endParaRPr lang="fr-FR" sz="1100"/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fr-FR" sz="1100" b="0" i="0" baseline="0">
                <a:effectLst/>
              </a:rPr>
              <a:t>Surcoût par rapport à l'alternative carbonée</a:t>
            </a:r>
            <a:endParaRPr lang="fr-FR" sz="11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fr-FR" sz="1100"/>
              <a:t>Besoins supplémentaires 2030 par rapport à 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Investissements!$B$62</c:f>
              <c:strCache>
                <c:ptCount val="1"/>
                <c:pt idx="0">
                  <c:v>JPF-SM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Investissements!$F$1</c:f>
              <c:strCache>
                <c:ptCount val="1"/>
                <c:pt idx="0">
                  <c:v>2030 AMS - 2021 projeté</c:v>
                </c:pt>
              </c:strCache>
              <c:extLst/>
            </c:strRef>
          </c:cat>
          <c:val>
            <c:numRef>
              <c:f>Investissements!$F$62</c:f>
              <c:numCache>
                <c:formatCode>General</c:formatCode>
                <c:ptCount val="1"/>
                <c:pt idx="0">
                  <c:v>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CD8E-4ED1-A7AD-1BDB73B029A6}"/>
            </c:ext>
          </c:extLst>
        </c:ser>
        <c:ser>
          <c:idx val="2"/>
          <c:order val="2"/>
          <c:tx>
            <c:strRef>
              <c:f>Investissements!$B$63</c:f>
              <c:strCache>
                <c:ptCount val="1"/>
                <c:pt idx="0">
                  <c:v>Tresor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Investissements!$F$1</c:f>
              <c:strCache>
                <c:ptCount val="1"/>
                <c:pt idx="0">
                  <c:v>2030 AMS - 2021 projeté</c:v>
                </c:pt>
              </c:strCache>
              <c:extLst/>
            </c:strRef>
          </c:cat>
          <c:val>
            <c:numRef>
              <c:f>Investissements!$F$63</c:f>
              <c:numCache>
                <c:formatCode>General</c:formatCode>
                <c:ptCount val="1"/>
                <c:pt idx="0">
                  <c:v>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CD8E-4ED1-A7AD-1BDB73B029A6}"/>
            </c:ext>
          </c:extLst>
        </c:ser>
        <c:ser>
          <c:idx val="4"/>
          <c:order val="4"/>
          <c:tx>
            <c:strRef>
              <c:f>Investissements!$B$65</c:f>
              <c:strCache>
                <c:ptCount val="1"/>
                <c:pt idx="0">
                  <c:v>ThreeME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Investissements!$F$1</c:f>
              <c:strCache>
                <c:ptCount val="1"/>
                <c:pt idx="0">
                  <c:v>2030 AMS - 2021 projeté</c:v>
                </c:pt>
              </c:strCache>
              <c:extLst/>
            </c:strRef>
          </c:cat>
          <c:val>
            <c:numRef>
              <c:f>Investissements!$F$65</c:f>
              <c:numCache>
                <c:formatCode>0.0</c:formatCode>
                <c:ptCount val="1"/>
                <c:pt idx="0">
                  <c:v>4.1102330146189399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CD8E-4ED1-A7AD-1BDB73B029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76452079"/>
        <c:axId val="276474127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Investissements!$B$61</c15:sqref>
                        </c15:formulaRef>
                      </c:ext>
                    </c:extLst>
                    <c:strCache>
                      <c:ptCount val="1"/>
                      <c:pt idx="0">
                        <c:v>I4CE run 2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Investissements!$F$1</c15:sqref>
                        </c15:formulaRef>
                      </c:ext>
                    </c:extLst>
                    <c:strCache>
                      <c:ptCount val="1"/>
                      <c:pt idx="0">
                        <c:v>2030 AMS - 2021 projeté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Investissements!$F$61</c15:sqref>
                        </c15:formulaRef>
                      </c:ext>
                    </c:extLst>
                    <c:numCache>
                      <c:formatCode>General</c:formatCode>
                      <c:ptCount val="1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CD8E-4ED1-A7AD-1BDB73B029A6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Investissements!$B$64</c15:sqref>
                        </c15:formulaRef>
                      </c:ext>
                    </c:extLst>
                    <c:strCache>
                      <c:ptCount val="1"/>
                      <c:pt idx="0">
                        <c:v>ThreeME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Investissements!$F$1</c15:sqref>
                        </c15:formulaRef>
                      </c:ext>
                    </c:extLst>
                    <c:strCache>
                      <c:ptCount val="1"/>
                      <c:pt idx="0">
                        <c:v>2030 AMS - 2021 projeté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Investissements!$F$64</c15:sqref>
                        </c15:formulaRef>
                      </c:ext>
                    </c:extLst>
                    <c:numCache>
                      <c:formatCode>0.0</c:formatCode>
                      <c:ptCount val="1"/>
                      <c:pt idx="0">
                        <c:v>3.9413600987754798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CD8E-4ED1-A7AD-1BDB73B029A6}"/>
                  </c:ext>
                </c:extLst>
              </c15:ser>
            </c15:filteredBarSeries>
          </c:ext>
        </c:extLst>
      </c:barChart>
      <c:catAx>
        <c:axId val="276452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6474127"/>
        <c:crosses val="autoZero"/>
        <c:auto val="1"/>
        <c:lblAlgn val="ctr"/>
        <c:lblOffset val="100"/>
        <c:noMultiLvlLbl val="0"/>
      </c:catAx>
      <c:valAx>
        <c:axId val="276474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6452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Agriculture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fr-FR" sz="1100" b="0" i="0" baseline="0">
                <a:effectLst/>
              </a:rPr>
              <a:t>Besoins supplémentaires 2030 par rapport à 2021</a:t>
            </a:r>
            <a:endParaRPr lang="fr-FR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Investissements!$B$68</c:f>
              <c:strCache>
                <c:ptCount val="1"/>
                <c:pt idx="0">
                  <c:v>JPF-SM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Investissements!$F$1</c:f>
              <c:strCache>
                <c:ptCount val="1"/>
                <c:pt idx="0">
                  <c:v>2030 AMS - 2021 projeté</c:v>
                </c:pt>
              </c:strCache>
              <c:extLst/>
            </c:strRef>
          </c:cat>
          <c:val>
            <c:numRef>
              <c:f>Investissements!$F$68</c:f>
              <c:numCache>
                <c:formatCode>General</c:formatCode>
                <c:ptCount val="1"/>
                <c:pt idx="0">
                  <c:v>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BA9F-4227-BF0F-C7C0734F2C0D}"/>
            </c:ext>
          </c:extLst>
        </c:ser>
        <c:ser>
          <c:idx val="2"/>
          <c:order val="2"/>
          <c:tx>
            <c:strRef>
              <c:f>Investissements!$B$69</c:f>
              <c:strCache>
                <c:ptCount val="1"/>
                <c:pt idx="0">
                  <c:v>Tresor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Investissements!$F$1</c:f>
              <c:strCache>
                <c:ptCount val="1"/>
                <c:pt idx="0">
                  <c:v>2030 AMS - 2021 projeté</c:v>
                </c:pt>
              </c:strCache>
              <c:extLst/>
            </c:strRef>
          </c:cat>
          <c:val>
            <c:numRef>
              <c:f>Investissements!$F$69</c:f>
              <c:numCache>
                <c:formatCode>General</c:formatCode>
                <c:ptCount val="1"/>
                <c:pt idx="0">
                  <c:v>1.5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BA9F-4227-BF0F-C7C0734F2C0D}"/>
            </c:ext>
          </c:extLst>
        </c:ser>
        <c:ser>
          <c:idx val="4"/>
          <c:order val="4"/>
          <c:tx>
            <c:strRef>
              <c:f>Investissements!$B$71</c:f>
              <c:strCache>
                <c:ptCount val="1"/>
                <c:pt idx="0">
                  <c:v>ThreeME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Investissements!$F$1</c:f>
              <c:strCache>
                <c:ptCount val="1"/>
                <c:pt idx="0">
                  <c:v>2030 AMS - 2021 projeté</c:v>
                </c:pt>
              </c:strCache>
              <c:extLst/>
            </c:strRef>
          </c:cat>
          <c:val>
            <c:numRef>
              <c:f>Investissements!$F$71</c:f>
              <c:numCache>
                <c:formatCode>0.0</c:formatCode>
                <c:ptCount val="1"/>
                <c:pt idx="0">
                  <c:v>-0.30144812382273373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BA9F-4227-BF0F-C7C0734F2C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76452079"/>
        <c:axId val="276474127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Investissements!$B$67</c15:sqref>
                        </c15:formulaRef>
                      </c:ext>
                    </c:extLst>
                    <c:strCache>
                      <c:ptCount val="1"/>
                      <c:pt idx="0">
                        <c:v>I4CE run 2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Investissements!$F$1</c15:sqref>
                        </c15:formulaRef>
                      </c:ext>
                    </c:extLst>
                    <c:strCache>
                      <c:ptCount val="1"/>
                      <c:pt idx="0">
                        <c:v>2030 AMS - 2021 projeté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Investissements!$F$67</c15:sqref>
                        </c15:formulaRef>
                      </c:ext>
                    </c:extLst>
                    <c:numCache>
                      <c:formatCode>General</c:formatCode>
                      <c:ptCount val="1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BA9F-4227-BF0F-C7C0734F2C0D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Investissements!$B$70</c15:sqref>
                        </c15:formulaRef>
                      </c:ext>
                    </c:extLst>
                    <c:strCache>
                      <c:ptCount val="1"/>
                      <c:pt idx="0">
                        <c:v>ThreeME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Investissements!$F$1</c15:sqref>
                        </c15:formulaRef>
                      </c:ext>
                    </c:extLst>
                    <c:strCache>
                      <c:ptCount val="1"/>
                      <c:pt idx="0">
                        <c:v>2030 AMS - 2021 projeté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Investissements!$F$70</c15:sqref>
                        </c15:formulaRef>
                      </c:ext>
                    </c:extLst>
                    <c:numCache>
                      <c:formatCode>0.0</c:formatCode>
                      <c:ptCount val="1"/>
                      <c:pt idx="0">
                        <c:v>-0.28906283484655504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A9F-4227-BF0F-C7C0734F2C0D}"/>
                  </c:ext>
                </c:extLst>
              </c15:ser>
            </c15:filteredBarSeries>
          </c:ext>
        </c:extLst>
      </c:barChart>
      <c:catAx>
        <c:axId val="276452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6474127"/>
        <c:crosses val="autoZero"/>
        <c:auto val="1"/>
        <c:lblAlgn val="ctr"/>
        <c:lblOffset val="100"/>
        <c:noMultiLvlLbl val="0"/>
      </c:catAx>
      <c:valAx>
        <c:axId val="276474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6452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0.04987</cdr:x>
      <cdr:y>0.93257</cdr:y>
    </cdr:from>
    <cdr:to>
      <cdr:x>0.84036</cdr:x>
      <cdr:y>1</cdr:y>
    </cdr:to>
    <cdr:sp macro="" textlink="">
      <cdr:nvSpPr>
        <cdr:cNvPr id="2" name="ZoneTexte 1">
          <a:extLst xmlns:a="http://schemas.openxmlformats.org/drawingml/2006/main">
            <a:ext uri="{FF2B5EF4-FFF2-40B4-BE49-F238E27FC236}">
              <a16:creationId xmlns:a16="http://schemas.microsoft.com/office/drawing/2014/main" id="{F6B5A3DA-50FB-4A05-BE64-958D26E11963}"/>
            </a:ext>
          </a:extLst>
        </cdr:cNvPr>
        <cdr:cNvSpPr txBox="1"/>
      </cdr:nvSpPr>
      <cdr:spPr>
        <a:xfrm xmlns:a="http://schemas.openxmlformats.org/drawingml/2006/main">
          <a:off x="180975" y="2913528"/>
          <a:ext cx="2868706" cy="2106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fr-FR" sz="900">
              <a:solidFill>
                <a:schemeClr val="tx1">
                  <a:lumMod val="65000"/>
                  <a:lumOff val="35000"/>
                </a:schemeClr>
              </a:solidFill>
            </a:rPr>
            <a:t>*2021 supposé égal à l'historique</a:t>
          </a:r>
          <a:r>
            <a:rPr lang="fr-FR" sz="900" baseline="0">
              <a:solidFill>
                <a:schemeClr val="tx1">
                  <a:lumMod val="65000"/>
                  <a:lumOff val="35000"/>
                </a:schemeClr>
              </a:solidFill>
            </a:rPr>
            <a:t> I4CE</a:t>
          </a:r>
          <a:endParaRPr lang="fr-FR" sz="900">
            <a:solidFill>
              <a:schemeClr val="tx1">
                <a:lumMod val="65000"/>
                <a:lumOff val="35000"/>
              </a:schemeClr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9157</TotalTime>
  <Pages>8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 Trésor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GOURMAND Logan</dc:creator>
  <cp:keywords/>
  <dc:description/>
  <cp:lastModifiedBy>GOURMAND Logan</cp:lastModifiedBy>
  <cp:revision>93</cp:revision>
  <dcterms:created xsi:type="dcterms:W3CDTF">2024-01-18T15:46:00Z</dcterms:created>
  <dcterms:modified xsi:type="dcterms:W3CDTF">2024-01-26T10:48:00Z</dcterms:modified>
</cp:coreProperties>
</file>