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36B6" w:rsidRPr="0032667A" w:rsidRDefault="007536B6" w:rsidP="007536B6">
      <w:pPr>
        <w:jc w:val="center"/>
        <w:rPr>
          <w:rFonts w:ascii="Arial" w:hAnsi="Arial" w:cs="Arial"/>
          <w:color w:val="0070C0"/>
          <w:sz w:val="50"/>
          <w:szCs w:val="50"/>
        </w:rPr>
      </w:pPr>
      <w:r w:rsidRPr="0032667A">
        <w:rPr>
          <w:rFonts w:ascii="Arial" w:hAnsi="Arial" w:cs="Arial"/>
          <w:color w:val="0070C0"/>
          <w:sz w:val="50"/>
          <w:szCs w:val="50"/>
        </w:rPr>
        <w:t>DOSSIER</w:t>
      </w:r>
      <w:r w:rsidRPr="007536B6">
        <w:rPr>
          <w:rFonts w:ascii="Arial" w:hAnsi="Arial" w:cs="Arial"/>
          <w:color w:val="0070C0"/>
          <w:sz w:val="50"/>
          <w:szCs w:val="50"/>
        </w:rPr>
        <w:t xml:space="preserve"> </w:t>
      </w:r>
      <w:r>
        <w:rPr>
          <w:rFonts w:ascii="Arial" w:hAnsi="Arial" w:cs="Arial"/>
          <w:color w:val="0070C0"/>
          <w:sz w:val="50"/>
          <w:szCs w:val="50"/>
        </w:rPr>
        <w:t>DEPENDANCE</w:t>
      </w:r>
    </w:p>
    <w:p w:rsidR="007536B6" w:rsidRDefault="007536B6" w:rsidP="007536B6">
      <w:pPr>
        <w:jc w:val="center"/>
        <w:rPr>
          <w:rFonts w:ascii="Arial" w:hAnsi="Arial" w:cs="Arial"/>
          <w:color w:val="0070C0"/>
          <w:sz w:val="50"/>
          <w:szCs w:val="50"/>
        </w:rPr>
      </w:pPr>
      <w:r w:rsidRPr="0032667A">
        <w:rPr>
          <w:rFonts w:ascii="Arial" w:hAnsi="Arial" w:cs="Arial"/>
          <w:color w:val="0070C0"/>
          <w:sz w:val="50"/>
          <w:szCs w:val="50"/>
        </w:rPr>
        <w:t>Mai 2017</w:t>
      </w:r>
    </w:p>
    <w:p w:rsidR="007536B6" w:rsidRDefault="007536B6" w:rsidP="007536B6">
      <w:pPr>
        <w:jc w:val="center"/>
        <w:rPr>
          <w:rFonts w:ascii="Arial" w:hAnsi="Arial" w:cs="Arial"/>
          <w:color w:val="0070C0"/>
          <w:sz w:val="50"/>
          <w:szCs w:val="50"/>
        </w:rPr>
      </w:pPr>
    </w:p>
    <w:p w:rsidR="007536B6" w:rsidRDefault="007536B6" w:rsidP="007536B6">
      <w:pPr>
        <w:widowControl w:val="0"/>
        <w:autoSpaceDE w:val="0"/>
        <w:autoSpaceDN w:val="0"/>
        <w:adjustRightInd w:val="0"/>
        <w:jc w:val="both"/>
        <w:rPr>
          <w:rFonts w:ascii="Baskerville Semibold" w:hAnsi="Baskerville Semibold" w:cs="Baskerville Semibold"/>
          <w:bCs/>
          <w:caps/>
          <w:color w:val="438BBE"/>
        </w:rPr>
      </w:pPr>
      <w:r>
        <w:rPr>
          <w:rFonts w:ascii="Baskerville Semibold" w:hAnsi="Baskerville Semibold" w:cs="Baskerville Semibold"/>
          <w:bCs/>
          <w:caps/>
          <w:color w:val="438BBE"/>
        </w:rPr>
        <w:t>L’INAPTITUDE D’UN salariÉ DU PARTICULIER EMPLOYEUR</w:t>
      </w:r>
    </w:p>
    <w:p w:rsidR="007536B6" w:rsidRDefault="007536B6" w:rsidP="007536B6">
      <w:pPr>
        <w:widowControl w:val="0"/>
        <w:autoSpaceDE w:val="0"/>
        <w:autoSpaceDN w:val="0"/>
        <w:adjustRightInd w:val="0"/>
        <w:jc w:val="both"/>
        <w:rPr>
          <w:rFonts w:ascii="Baskerville Semibold" w:hAnsi="Baskerville Semibold" w:cs="Baskerville Semibold"/>
          <w:bCs/>
          <w:caps/>
          <w:color w:val="438BBE"/>
        </w:rPr>
      </w:pPr>
      <w:bookmarkStart w:id="0" w:name="_GoBack"/>
      <w:bookmarkEnd w:id="0"/>
    </w:p>
    <w:p w:rsidR="007536B6" w:rsidRPr="00A56C6F" w:rsidRDefault="007536B6" w:rsidP="007536B6">
      <w:pPr>
        <w:pStyle w:val="Default"/>
        <w:jc w:val="both"/>
        <w:rPr>
          <w:rFonts w:ascii="Arial" w:eastAsia="MS Mincho" w:hAnsi="Arial" w:cs="Arial"/>
          <w:color w:val="auto"/>
          <w:sz w:val="20"/>
          <w:szCs w:val="20"/>
          <w:lang w:eastAsia="fr-FR"/>
        </w:rPr>
      </w:pPr>
      <w:r w:rsidRPr="00A56C6F">
        <w:rPr>
          <w:rFonts w:ascii="Arial" w:eastAsia="MS Mincho" w:hAnsi="Arial" w:cs="Arial"/>
          <w:color w:val="auto"/>
          <w:sz w:val="20"/>
          <w:szCs w:val="20"/>
          <w:lang w:eastAsia="fr-FR"/>
        </w:rPr>
        <w:t>Tous les salariés du particulier employeur, qu’ils soient à temps complet ou à temps partiel</w:t>
      </w:r>
      <w:r w:rsidRPr="00A56C6F">
        <w:rPr>
          <w:rStyle w:val="Appelnotedebasdep"/>
          <w:rFonts w:ascii="Arial" w:eastAsia="MS Mincho" w:hAnsi="Arial" w:cs="Arial"/>
          <w:color w:val="auto"/>
          <w:sz w:val="20"/>
          <w:szCs w:val="20"/>
          <w:lang w:eastAsia="fr-FR"/>
        </w:rPr>
        <w:footnoteReference w:id="1"/>
      </w:r>
      <w:r w:rsidRPr="00A56C6F">
        <w:rPr>
          <w:rFonts w:ascii="Arial" w:eastAsia="MS Mincho" w:hAnsi="Arial" w:cs="Arial"/>
          <w:color w:val="auto"/>
          <w:sz w:val="20"/>
          <w:szCs w:val="20"/>
          <w:lang w:eastAsia="fr-FR"/>
        </w:rPr>
        <w:t xml:space="preserve">, sont soumis à la surveillance médicale du travail. </w:t>
      </w:r>
    </w:p>
    <w:p w:rsidR="007536B6" w:rsidRPr="00A56C6F" w:rsidRDefault="007536B6" w:rsidP="007536B6">
      <w:pPr>
        <w:pStyle w:val="Default"/>
        <w:jc w:val="both"/>
        <w:rPr>
          <w:rFonts w:ascii="Arial" w:eastAsia="MS Mincho" w:hAnsi="Arial" w:cs="Arial"/>
          <w:color w:val="auto"/>
          <w:sz w:val="20"/>
          <w:szCs w:val="20"/>
          <w:lang w:eastAsia="fr-FR"/>
        </w:rPr>
      </w:pPr>
    </w:p>
    <w:p w:rsidR="007536B6" w:rsidRPr="00A56C6F" w:rsidRDefault="007536B6" w:rsidP="007536B6">
      <w:pPr>
        <w:jc w:val="both"/>
        <w:rPr>
          <w:rFonts w:ascii="Arial" w:eastAsia="MS Mincho" w:hAnsi="Arial" w:cs="Arial"/>
          <w:sz w:val="20"/>
          <w:szCs w:val="20"/>
        </w:rPr>
      </w:pPr>
      <w:r w:rsidRPr="00A56C6F">
        <w:rPr>
          <w:rFonts w:ascii="Arial" w:eastAsia="MS Mincho" w:hAnsi="Arial" w:cs="Arial"/>
          <w:sz w:val="20"/>
          <w:szCs w:val="20"/>
        </w:rPr>
        <w:t>En plus d’une visite d’information et de prévention à effectuer dans les 3 mois</w:t>
      </w:r>
      <w:r>
        <w:rPr>
          <w:rFonts w:ascii="Arial" w:eastAsia="MS Mincho" w:hAnsi="Arial" w:cs="Arial"/>
          <w:sz w:val="20"/>
          <w:szCs w:val="20"/>
        </w:rPr>
        <w:t xml:space="preserve"> de l’embauche, puis au maximum</w:t>
      </w:r>
      <w:r w:rsidRPr="00A56C6F">
        <w:rPr>
          <w:rFonts w:ascii="Arial" w:eastAsia="MS Mincho" w:hAnsi="Arial" w:cs="Arial"/>
          <w:sz w:val="20"/>
          <w:szCs w:val="20"/>
        </w:rPr>
        <w:t xml:space="preserve"> tous les 5 ans</w:t>
      </w:r>
      <w:r w:rsidRPr="00A56C6F">
        <w:rPr>
          <w:rStyle w:val="Appelnotedebasdep"/>
          <w:rFonts w:ascii="Arial" w:eastAsia="MS Mincho" w:hAnsi="Arial" w:cs="Arial"/>
          <w:sz w:val="20"/>
          <w:szCs w:val="20"/>
        </w:rPr>
        <w:footnoteReference w:id="2"/>
      </w:r>
      <w:r w:rsidRPr="00A56C6F">
        <w:rPr>
          <w:rFonts w:ascii="Arial" w:eastAsia="MS Mincho" w:hAnsi="Arial" w:cs="Arial"/>
          <w:sz w:val="20"/>
          <w:szCs w:val="20"/>
        </w:rPr>
        <w:t xml:space="preserve">, le salarié doit bénéficier de visites de reprise à la suite de certaines suspensions de son contrat de travail. </w:t>
      </w:r>
    </w:p>
    <w:p w:rsidR="007536B6" w:rsidRPr="00A56C6F" w:rsidRDefault="007536B6" w:rsidP="007536B6">
      <w:pPr>
        <w:jc w:val="both"/>
        <w:rPr>
          <w:rFonts w:ascii="Arial" w:eastAsia="MS Mincho" w:hAnsi="Arial" w:cs="Arial"/>
          <w:sz w:val="20"/>
          <w:szCs w:val="20"/>
        </w:rPr>
      </w:pPr>
      <w:r w:rsidRPr="00A56C6F">
        <w:rPr>
          <w:rFonts w:ascii="Arial" w:eastAsia="MS Mincho" w:hAnsi="Arial" w:cs="Arial"/>
          <w:sz w:val="20"/>
          <w:szCs w:val="20"/>
        </w:rPr>
        <w:t>A cette occasion, le médecin du travail doit se prononcer sur l’aptitude ou l’inaptitude du salarié à son poste.</w:t>
      </w:r>
    </w:p>
    <w:p w:rsidR="007536B6" w:rsidRPr="00A56C6F" w:rsidRDefault="007536B6" w:rsidP="007536B6">
      <w:pPr>
        <w:jc w:val="both"/>
        <w:rPr>
          <w:rFonts w:ascii="Arial" w:eastAsia="MS Mincho" w:hAnsi="Arial" w:cs="Arial"/>
          <w:sz w:val="20"/>
          <w:szCs w:val="20"/>
        </w:rPr>
      </w:pPr>
      <w:r w:rsidRPr="00A56C6F">
        <w:rPr>
          <w:rFonts w:ascii="Arial" w:eastAsia="MS Mincho" w:hAnsi="Arial" w:cs="Arial"/>
          <w:sz w:val="20"/>
          <w:szCs w:val="20"/>
        </w:rPr>
        <w:br/>
      </w:r>
      <w:r w:rsidRPr="00A56C6F">
        <w:rPr>
          <w:rFonts w:ascii="Arial" w:eastAsia="MS Mincho" w:hAnsi="Arial" w:cs="Arial"/>
          <w:sz w:val="20"/>
          <w:szCs w:val="20"/>
          <w:u w:val="single"/>
        </w:rPr>
        <w:t>A noter</w:t>
      </w:r>
      <w:r w:rsidRPr="00A56C6F">
        <w:rPr>
          <w:rFonts w:ascii="Arial" w:eastAsia="MS Mincho" w:hAnsi="Arial" w:cs="Arial"/>
          <w:sz w:val="20"/>
          <w:szCs w:val="20"/>
        </w:rPr>
        <w:t xml:space="preserve"> : L’inaptitude et l’invalidité sont deux notions distinctes qui obéissent à des régimes différents. </w:t>
      </w:r>
    </w:p>
    <w:p w:rsidR="007536B6" w:rsidRPr="00A56C6F" w:rsidRDefault="007536B6" w:rsidP="007536B6">
      <w:pPr>
        <w:jc w:val="both"/>
        <w:rPr>
          <w:rFonts w:ascii="Arial" w:eastAsia="MS Mincho" w:hAnsi="Arial" w:cs="Arial"/>
          <w:sz w:val="20"/>
          <w:szCs w:val="20"/>
        </w:rPr>
      </w:pPr>
      <w:r w:rsidRPr="00A56C6F">
        <w:rPr>
          <w:rFonts w:ascii="Arial" w:eastAsia="MS Mincho" w:hAnsi="Arial" w:cs="Arial"/>
          <w:sz w:val="20"/>
          <w:szCs w:val="20"/>
        </w:rPr>
        <w:t xml:space="preserve">En effet, l’invalidité reconnue par le médecin de la </w:t>
      </w:r>
      <w:r>
        <w:rPr>
          <w:rFonts w:ascii="Arial" w:eastAsia="MS Mincho" w:hAnsi="Arial" w:cs="Arial"/>
          <w:sz w:val="20"/>
          <w:szCs w:val="20"/>
        </w:rPr>
        <w:t>S</w:t>
      </w:r>
      <w:r w:rsidRPr="00A56C6F">
        <w:rPr>
          <w:rFonts w:ascii="Arial" w:eastAsia="MS Mincho" w:hAnsi="Arial" w:cs="Arial"/>
          <w:sz w:val="20"/>
          <w:szCs w:val="20"/>
        </w:rPr>
        <w:t>écurité sociale ne vaut pas déclaration d’inaptitude.</w:t>
      </w:r>
    </w:p>
    <w:p w:rsidR="007536B6" w:rsidRPr="00A56C6F" w:rsidRDefault="007536B6" w:rsidP="007536B6">
      <w:pPr>
        <w:jc w:val="both"/>
        <w:rPr>
          <w:rFonts w:ascii="Arial" w:eastAsia="MS Mincho" w:hAnsi="Arial" w:cs="Arial"/>
          <w:sz w:val="20"/>
          <w:szCs w:val="20"/>
        </w:rPr>
      </w:pPr>
      <w:r w:rsidRPr="00A56C6F">
        <w:rPr>
          <w:rFonts w:ascii="Arial" w:eastAsia="MS Mincho" w:hAnsi="Arial" w:cs="Arial"/>
          <w:sz w:val="20"/>
          <w:szCs w:val="20"/>
        </w:rPr>
        <w:t>Seul le médecin du travail est compétent pour constater l’inaptitude.</w:t>
      </w:r>
    </w:p>
    <w:p w:rsidR="007536B6" w:rsidRDefault="007536B6" w:rsidP="007536B6">
      <w:pPr>
        <w:pStyle w:val="Default"/>
        <w:jc w:val="both"/>
        <w:rPr>
          <w:rFonts w:ascii="Arial" w:hAnsi="Arial" w:cs="Arial"/>
          <w:sz w:val="20"/>
          <w:szCs w:val="20"/>
        </w:rPr>
      </w:pPr>
    </w:p>
    <w:p w:rsidR="007536B6" w:rsidRPr="00A56C6F" w:rsidRDefault="007536B6" w:rsidP="007536B6">
      <w:pPr>
        <w:pStyle w:val="Default"/>
        <w:jc w:val="both"/>
        <w:rPr>
          <w:rFonts w:ascii="Arial" w:hAnsi="Arial" w:cs="Arial"/>
          <w:sz w:val="20"/>
          <w:szCs w:val="20"/>
        </w:rPr>
      </w:pPr>
    </w:p>
    <w:p w:rsidR="007536B6" w:rsidRPr="00A56C6F" w:rsidRDefault="007536B6" w:rsidP="007536B6">
      <w:pPr>
        <w:pStyle w:val="Default"/>
        <w:numPr>
          <w:ilvl w:val="0"/>
          <w:numId w:val="1"/>
        </w:numPr>
        <w:jc w:val="both"/>
        <w:rPr>
          <w:rFonts w:ascii="Arial" w:hAnsi="Arial" w:cs="Arial"/>
          <w:b/>
          <w:color w:val="A62326" w:themeColor="accent6" w:themeShade="BF"/>
          <w:sz w:val="20"/>
          <w:szCs w:val="20"/>
          <w:u w:val="single"/>
        </w:rPr>
      </w:pPr>
      <w:r w:rsidRPr="00A56C6F">
        <w:rPr>
          <w:rFonts w:ascii="Arial" w:hAnsi="Arial" w:cs="Arial"/>
          <w:b/>
          <w:color w:val="A62326" w:themeColor="accent6" w:themeShade="BF"/>
          <w:sz w:val="20"/>
          <w:szCs w:val="20"/>
          <w:u w:val="single"/>
        </w:rPr>
        <w:t>La déclaration d’inaptitude du salarié</w:t>
      </w:r>
    </w:p>
    <w:p w:rsidR="007536B6" w:rsidRPr="00A56C6F" w:rsidRDefault="007536B6" w:rsidP="007536B6">
      <w:pPr>
        <w:pStyle w:val="Default"/>
        <w:jc w:val="both"/>
        <w:rPr>
          <w:rFonts w:ascii="Arial" w:hAnsi="Arial" w:cs="Arial"/>
          <w:sz w:val="20"/>
          <w:szCs w:val="20"/>
        </w:rPr>
      </w:pPr>
    </w:p>
    <w:p w:rsidR="007536B6" w:rsidRPr="00A56C6F" w:rsidRDefault="007536B6" w:rsidP="007536B6">
      <w:pPr>
        <w:pStyle w:val="Default"/>
        <w:jc w:val="both"/>
        <w:rPr>
          <w:rFonts w:ascii="Arial" w:eastAsia="MS Mincho" w:hAnsi="Arial" w:cs="Arial"/>
          <w:sz w:val="20"/>
          <w:szCs w:val="20"/>
          <w:lang w:eastAsia="fr-FR"/>
        </w:rPr>
      </w:pPr>
      <w:r w:rsidRPr="00A56C6F">
        <w:rPr>
          <w:rFonts w:ascii="Arial" w:eastAsia="MS Mincho" w:hAnsi="Arial" w:cs="Arial"/>
          <w:sz w:val="20"/>
          <w:szCs w:val="20"/>
          <w:lang w:eastAsia="fr-FR"/>
        </w:rPr>
        <w:t>Les salariés du particulier employeur doivent bénéficier d’une visite médicale de reprise :</w:t>
      </w:r>
    </w:p>
    <w:p w:rsidR="007536B6" w:rsidRDefault="007536B6" w:rsidP="007536B6">
      <w:pPr>
        <w:pStyle w:val="Default"/>
        <w:numPr>
          <w:ilvl w:val="0"/>
          <w:numId w:val="5"/>
        </w:numPr>
        <w:jc w:val="both"/>
        <w:rPr>
          <w:rFonts w:ascii="Arial" w:eastAsia="MS Mincho" w:hAnsi="Arial" w:cs="Arial"/>
          <w:sz w:val="20"/>
          <w:szCs w:val="20"/>
          <w:lang w:eastAsia="fr-FR"/>
        </w:rPr>
      </w:pPr>
      <w:proofErr w:type="gramStart"/>
      <w:r w:rsidRPr="00A56C6F">
        <w:rPr>
          <w:rFonts w:ascii="Arial" w:eastAsia="MS Mincho" w:hAnsi="Arial" w:cs="Arial"/>
          <w:sz w:val="20"/>
          <w:szCs w:val="20"/>
          <w:lang w:eastAsia="fr-FR"/>
        </w:rPr>
        <w:t>après</w:t>
      </w:r>
      <w:proofErr w:type="gramEnd"/>
      <w:r w:rsidRPr="00A56C6F">
        <w:rPr>
          <w:rFonts w:ascii="Arial" w:eastAsia="MS Mincho" w:hAnsi="Arial" w:cs="Arial"/>
          <w:sz w:val="20"/>
          <w:szCs w:val="20"/>
          <w:lang w:eastAsia="fr-FR"/>
        </w:rPr>
        <w:t xml:space="preserve"> un congé de maternité ;</w:t>
      </w:r>
    </w:p>
    <w:p w:rsidR="007536B6" w:rsidRDefault="007536B6" w:rsidP="007536B6">
      <w:pPr>
        <w:pStyle w:val="Default"/>
        <w:numPr>
          <w:ilvl w:val="0"/>
          <w:numId w:val="5"/>
        </w:numPr>
        <w:jc w:val="both"/>
        <w:rPr>
          <w:rFonts w:ascii="Arial" w:eastAsia="MS Mincho" w:hAnsi="Arial" w:cs="Arial"/>
          <w:sz w:val="20"/>
          <w:szCs w:val="20"/>
          <w:lang w:eastAsia="fr-FR"/>
        </w:rPr>
      </w:pPr>
      <w:proofErr w:type="gramStart"/>
      <w:r w:rsidRPr="00F65707">
        <w:rPr>
          <w:rFonts w:ascii="Arial" w:eastAsia="MS Mincho" w:hAnsi="Arial" w:cs="Arial"/>
          <w:sz w:val="20"/>
          <w:szCs w:val="20"/>
          <w:lang w:eastAsia="fr-FR"/>
        </w:rPr>
        <w:t>après</w:t>
      </w:r>
      <w:proofErr w:type="gramEnd"/>
      <w:r w:rsidRPr="00F65707">
        <w:rPr>
          <w:rFonts w:ascii="Arial" w:eastAsia="MS Mincho" w:hAnsi="Arial" w:cs="Arial"/>
          <w:sz w:val="20"/>
          <w:szCs w:val="20"/>
          <w:lang w:eastAsia="fr-FR"/>
        </w:rPr>
        <w:t xml:space="preserve"> une absence pour cause de maladie professionnelle ;</w:t>
      </w:r>
    </w:p>
    <w:p w:rsidR="007536B6" w:rsidRPr="00F65707" w:rsidRDefault="007536B6" w:rsidP="007536B6">
      <w:pPr>
        <w:pStyle w:val="Default"/>
        <w:numPr>
          <w:ilvl w:val="0"/>
          <w:numId w:val="5"/>
        </w:numPr>
        <w:jc w:val="both"/>
        <w:rPr>
          <w:rFonts w:ascii="Arial" w:eastAsia="MS Mincho" w:hAnsi="Arial" w:cs="Arial"/>
          <w:sz w:val="20"/>
          <w:szCs w:val="20"/>
          <w:lang w:eastAsia="fr-FR"/>
        </w:rPr>
      </w:pPr>
      <w:proofErr w:type="gramStart"/>
      <w:r w:rsidRPr="00F65707">
        <w:rPr>
          <w:rFonts w:ascii="Arial" w:eastAsia="MS Mincho" w:hAnsi="Arial" w:cs="Arial"/>
          <w:sz w:val="20"/>
          <w:szCs w:val="20"/>
          <w:lang w:eastAsia="fr-FR"/>
        </w:rPr>
        <w:t>après</w:t>
      </w:r>
      <w:proofErr w:type="gramEnd"/>
      <w:r w:rsidRPr="00F65707">
        <w:rPr>
          <w:rFonts w:ascii="Arial" w:eastAsia="MS Mincho" w:hAnsi="Arial" w:cs="Arial"/>
          <w:sz w:val="20"/>
          <w:szCs w:val="20"/>
          <w:lang w:eastAsia="fr-FR"/>
        </w:rPr>
        <w:t xml:space="preserve"> une absence d’au moins 30 jours pour cause d’accident du travail, de maladie ou d’accident non professionnel. </w:t>
      </w:r>
    </w:p>
    <w:p w:rsidR="007536B6" w:rsidRPr="00A56C6F" w:rsidRDefault="007536B6" w:rsidP="007536B6">
      <w:pPr>
        <w:pStyle w:val="Default"/>
        <w:ind w:left="720"/>
        <w:jc w:val="both"/>
        <w:rPr>
          <w:rFonts w:ascii="Arial" w:eastAsia="MS Mincho" w:hAnsi="Arial" w:cs="Arial"/>
          <w:sz w:val="20"/>
          <w:szCs w:val="20"/>
          <w:lang w:eastAsia="fr-FR"/>
        </w:rPr>
      </w:pPr>
    </w:p>
    <w:p w:rsidR="007536B6" w:rsidRPr="00A56C6F" w:rsidRDefault="007536B6" w:rsidP="007536B6">
      <w:pPr>
        <w:pStyle w:val="Default"/>
        <w:jc w:val="both"/>
        <w:rPr>
          <w:rFonts w:ascii="Arial" w:eastAsia="MS Mincho" w:hAnsi="Arial" w:cs="Arial"/>
          <w:sz w:val="20"/>
          <w:szCs w:val="20"/>
          <w:lang w:eastAsia="fr-FR"/>
        </w:rPr>
      </w:pPr>
      <w:r w:rsidRPr="00A56C6F">
        <w:rPr>
          <w:rFonts w:ascii="Arial" w:eastAsia="MS Mincho" w:hAnsi="Arial" w:cs="Arial"/>
          <w:sz w:val="20"/>
          <w:szCs w:val="20"/>
          <w:lang w:eastAsia="fr-FR"/>
        </w:rPr>
        <w:t>L'examen doit avoir lieu le jour de la reprise de travail et</w:t>
      </w:r>
      <w:r>
        <w:rPr>
          <w:rFonts w:ascii="Arial" w:eastAsia="MS Mincho" w:hAnsi="Arial" w:cs="Arial"/>
          <w:sz w:val="20"/>
          <w:szCs w:val="20"/>
          <w:lang w:eastAsia="fr-FR"/>
        </w:rPr>
        <w:t>,</w:t>
      </w:r>
      <w:r w:rsidRPr="00A56C6F">
        <w:rPr>
          <w:rFonts w:ascii="Arial" w:eastAsia="MS Mincho" w:hAnsi="Arial" w:cs="Arial"/>
          <w:sz w:val="20"/>
          <w:szCs w:val="20"/>
          <w:lang w:eastAsia="fr-FR"/>
        </w:rPr>
        <w:t xml:space="preserve"> au plus tard</w:t>
      </w:r>
      <w:r>
        <w:rPr>
          <w:rFonts w:ascii="Arial" w:eastAsia="MS Mincho" w:hAnsi="Arial" w:cs="Arial"/>
          <w:sz w:val="20"/>
          <w:szCs w:val="20"/>
          <w:lang w:eastAsia="fr-FR"/>
        </w:rPr>
        <w:t>,</w:t>
      </w:r>
      <w:r w:rsidRPr="00A56C6F">
        <w:rPr>
          <w:rFonts w:ascii="Arial" w:eastAsia="MS Mincho" w:hAnsi="Arial" w:cs="Arial"/>
          <w:sz w:val="20"/>
          <w:szCs w:val="20"/>
          <w:lang w:eastAsia="fr-FR"/>
        </w:rPr>
        <w:t xml:space="preserve"> dans les 8 jours de la reprise de travail. </w:t>
      </w:r>
    </w:p>
    <w:p w:rsidR="007536B6" w:rsidRDefault="007536B6" w:rsidP="007536B6">
      <w:pPr>
        <w:pStyle w:val="Default"/>
        <w:jc w:val="both"/>
        <w:rPr>
          <w:rFonts w:ascii="Arial" w:eastAsia="MS Mincho" w:hAnsi="Arial" w:cs="Arial"/>
          <w:sz w:val="20"/>
          <w:szCs w:val="20"/>
          <w:lang w:eastAsia="fr-FR"/>
        </w:rPr>
      </w:pPr>
    </w:p>
    <w:p w:rsidR="007536B6" w:rsidRPr="00A56C6F" w:rsidRDefault="007536B6" w:rsidP="007536B6">
      <w:pPr>
        <w:pStyle w:val="Default"/>
        <w:jc w:val="both"/>
        <w:rPr>
          <w:rFonts w:ascii="Arial" w:hAnsi="Arial" w:cs="Arial"/>
          <w:sz w:val="20"/>
          <w:szCs w:val="20"/>
        </w:rPr>
      </w:pPr>
      <w:r w:rsidRPr="00A56C6F">
        <w:rPr>
          <w:rFonts w:ascii="Arial" w:eastAsia="MS Mincho" w:hAnsi="Arial" w:cs="Arial"/>
          <w:sz w:val="20"/>
          <w:szCs w:val="20"/>
          <w:lang w:eastAsia="fr-FR"/>
        </w:rPr>
        <w:t>Cet examen permet notamment au médecin du travail de </w:t>
      </w:r>
      <w:r w:rsidRPr="00A56C6F">
        <w:rPr>
          <w:rFonts w:ascii="Arial" w:hAnsi="Arial" w:cs="Arial"/>
          <w:sz w:val="20"/>
          <w:szCs w:val="20"/>
        </w:rPr>
        <w:t>vérifier si le poste de travail que doit reprendre le salarié est compatible avec son état de santé et d’émettre, le cas échéant, un avis d’inaptitude.</w:t>
      </w:r>
    </w:p>
    <w:p w:rsidR="007536B6" w:rsidRPr="00A56C6F" w:rsidRDefault="007536B6" w:rsidP="007536B6">
      <w:pPr>
        <w:pStyle w:val="Default"/>
        <w:jc w:val="both"/>
        <w:rPr>
          <w:rFonts w:ascii="Arial" w:hAnsi="Arial" w:cs="Arial"/>
          <w:sz w:val="20"/>
          <w:szCs w:val="20"/>
        </w:rPr>
      </w:pPr>
    </w:p>
    <w:p w:rsidR="007536B6" w:rsidRPr="00A56C6F" w:rsidRDefault="007536B6" w:rsidP="007536B6">
      <w:pPr>
        <w:pStyle w:val="Default"/>
        <w:jc w:val="both"/>
        <w:rPr>
          <w:rFonts w:ascii="Arial" w:hAnsi="Arial" w:cs="Arial"/>
          <w:sz w:val="20"/>
          <w:szCs w:val="20"/>
        </w:rPr>
      </w:pPr>
      <w:r w:rsidRPr="00A56C6F">
        <w:rPr>
          <w:rFonts w:ascii="Arial" w:hAnsi="Arial" w:cs="Arial"/>
          <w:sz w:val="20"/>
          <w:szCs w:val="20"/>
        </w:rPr>
        <w:t>Cette inaptitude peut dorénavant être déclarée après une seule visite de reprise de travail</w:t>
      </w:r>
      <w:r w:rsidRPr="00A56C6F">
        <w:rPr>
          <w:rStyle w:val="Appelnotedebasdep"/>
          <w:rFonts w:ascii="Arial" w:hAnsi="Arial" w:cs="Arial"/>
          <w:sz w:val="20"/>
          <w:szCs w:val="20"/>
        </w:rPr>
        <w:footnoteReference w:id="3"/>
      </w:r>
      <w:r w:rsidRPr="00A56C6F">
        <w:rPr>
          <w:rFonts w:ascii="Arial" w:hAnsi="Arial" w:cs="Arial"/>
          <w:sz w:val="20"/>
          <w:szCs w:val="20"/>
        </w:rPr>
        <w:t>. Le médecin du travail peut néanmoins décider d'organiser un second examen.</w:t>
      </w:r>
    </w:p>
    <w:p w:rsidR="007536B6" w:rsidRPr="00A56C6F" w:rsidRDefault="007536B6" w:rsidP="007536B6">
      <w:pPr>
        <w:pStyle w:val="Default"/>
        <w:jc w:val="both"/>
        <w:rPr>
          <w:rFonts w:ascii="Arial" w:hAnsi="Arial" w:cs="Arial"/>
          <w:b/>
          <w:color w:val="A62326" w:themeColor="accent6" w:themeShade="BF"/>
          <w:sz w:val="20"/>
          <w:szCs w:val="20"/>
          <w:u w:val="single"/>
        </w:rPr>
      </w:pPr>
    </w:p>
    <w:p w:rsidR="007536B6" w:rsidRPr="00A56C6F" w:rsidRDefault="007536B6" w:rsidP="007536B6">
      <w:pPr>
        <w:jc w:val="both"/>
        <w:rPr>
          <w:rFonts w:ascii="Arial" w:eastAsia="MS Mincho" w:hAnsi="Arial" w:cs="Arial"/>
          <w:sz w:val="20"/>
          <w:szCs w:val="20"/>
        </w:rPr>
      </w:pPr>
      <w:r w:rsidRPr="00A56C6F">
        <w:rPr>
          <w:rFonts w:ascii="Arial" w:eastAsia="MS Mincho" w:hAnsi="Arial" w:cs="Arial"/>
          <w:sz w:val="20"/>
          <w:szCs w:val="20"/>
        </w:rPr>
        <w:t>Pour se prononcer sur l’aptitude du salarié, le médecin du travail doit réaliser ou faire réaliser une étude du poste et des conditions de travail et doit échanger avec l’employeur.</w:t>
      </w:r>
    </w:p>
    <w:p w:rsidR="007536B6" w:rsidRPr="00A56C6F" w:rsidRDefault="007536B6" w:rsidP="007536B6">
      <w:pPr>
        <w:jc w:val="both"/>
        <w:rPr>
          <w:rFonts w:ascii="Arial" w:eastAsia="MS Mincho" w:hAnsi="Arial" w:cs="Arial"/>
          <w:sz w:val="20"/>
          <w:szCs w:val="20"/>
        </w:rPr>
      </w:pPr>
    </w:p>
    <w:p w:rsidR="007536B6" w:rsidRPr="00A56C6F" w:rsidRDefault="007536B6" w:rsidP="007536B6">
      <w:pPr>
        <w:jc w:val="both"/>
        <w:rPr>
          <w:rFonts w:ascii="Arial" w:eastAsia="MS Mincho" w:hAnsi="Arial" w:cs="Arial"/>
          <w:sz w:val="20"/>
          <w:szCs w:val="20"/>
        </w:rPr>
      </w:pPr>
      <w:r w:rsidRPr="00A56C6F">
        <w:rPr>
          <w:rFonts w:ascii="Arial" w:eastAsia="MS Mincho" w:hAnsi="Arial" w:cs="Arial"/>
          <w:sz w:val="20"/>
          <w:szCs w:val="20"/>
        </w:rPr>
        <w:t>La FEPEM préconise donc aux particuliers employeurs de se tenir à la disposition du médecin du travail pour un échange et éventuellement une visite du domicile, lieu de travail du salarié.</w:t>
      </w:r>
    </w:p>
    <w:p w:rsidR="007536B6" w:rsidRDefault="007536B6" w:rsidP="007536B6">
      <w:pPr>
        <w:pStyle w:val="Default"/>
        <w:jc w:val="both"/>
        <w:rPr>
          <w:rFonts w:ascii="Arial" w:hAnsi="Arial" w:cs="Arial"/>
          <w:b/>
          <w:color w:val="A62326" w:themeColor="accent6" w:themeShade="BF"/>
          <w:sz w:val="20"/>
          <w:szCs w:val="20"/>
          <w:u w:val="single"/>
        </w:rPr>
      </w:pPr>
    </w:p>
    <w:p w:rsidR="007536B6" w:rsidRPr="00A56C6F" w:rsidRDefault="007536B6" w:rsidP="007536B6">
      <w:pPr>
        <w:pStyle w:val="Default"/>
        <w:jc w:val="both"/>
        <w:rPr>
          <w:rFonts w:ascii="Arial" w:hAnsi="Arial" w:cs="Arial"/>
          <w:b/>
          <w:color w:val="A62326" w:themeColor="accent6" w:themeShade="BF"/>
          <w:sz w:val="20"/>
          <w:szCs w:val="20"/>
          <w:u w:val="single"/>
        </w:rPr>
      </w:pPr>
    </w:p>
    <w:p w:rsidR="007536B6" w:rsidRPr="00A56C6F" w:rsidRDefault="007536B6" w:rsidP="007536B6">
      <w:pPr>
        <w:pStyle w:val="Default"/>
        <w:numPr>
          <w:ilvl w:val="0"/>
          <w:numId w:val="1"/>
        </w:numPr>
        <w:jc w:val="both"/>
        <w:rPr>
          <w:rFonts w:ascii="Arial" w:hAnsi="Arial" w:cs="Arial"/>
          <w:b/>
          <w:color w:val="A62326" w:themeColor="accent6" w:themeShade="BF"/>
          <w:sz w:val="20"/>
          <w:szCs w:val="20"/>
          <w:u w:val="single"/>
        </w:rPr>
      </w:pPr>
      <w:r w:rsidRPr="00A56C6F">
        <w:rPr>
          <w:rFonts w:ascii="Arial" w:hAnsi="Arial" w:cs="Arial"/>
          <w:b/>
          <w:color w:val="A62326" w:themeColor="accent6" w:themeShade="BF"/>
          <w:sz w:val="20"/>
          <w:szCs w:val="20"/>
          <w:u w:val="single"/>
        </w:rPr>
        <w:t>Le licenciement consécutif à l’inaptitude constatée du salarié</w:t>
      </w:r>
    </w:p>
    <w:p w:rsidR="007536B6" w:rsidRPr="00A56C6F" w:rsidRDefault="007536B6" w:rsidP="007536B6">
      <w:pPr>
        <w:pStyle w:val="Paragraphedeliste"/>
        <w:jc w:val="both"/>
        <w:rPr>
          <w:rFonts w:ascii="Arial" w:hAnsi="Arial" w:cs="Arial"/>
          <w:sz w:val="20"/>
          <w:szCs w:val="20"/>
        </w:rPr>
      </w:pPr>
    </w:p>
    <w:p w:rsidR="007536B6" w:rsidRPr="00A56C6F" w:rsidRDefault="007536B6" w:rsidP="007536B6">
      <w:pPr>
        <w:jc w:val="both"/>
        <w:rPr>
          <w:rFonts w:ascii="Arial" w:hAnsi="Arial" w:cs="Arial"/>
          <w:sz w:val="20"/>
          <w:szCs w:val="20"/>
        </w:rPr>
      </w:pPr>
      <w:r w:rsidRPr="00A56C6F">
        <w:rPr>
          <w:rFonts w:ascii="Arial" w:hAnsi="Arial" w:cs="Arial"/>
          <w:sz w:val="20"/>
          <w:szCs w:val="20"/>
        </w:rPr>
        <w:t>Si le salarié est déclaré inapte au poste occupé, l’employeur doit procéder au licenciement de celui-ci après s’être assuré que le reclassement du salarié dans un autre poste est impossible.</w:t>
      </w:r>
    </w:p>
    <w:p w:rsidR="007536B6" w:rsidRPr="00A56C6F" w:rsidRDefault="007536B6" w:rsidP="007536B6">
      <w:pPr>
        <w:jc w:val="both"/>
        <w:rPr>
          <w:rFonts w:ascii="Arial" w:hAnsi="Arial" w:cs="Arial"/>
          <w:sz w:val="20"/>
          <w:szCs w:val="20"/>
        </w:rPr>
      </w:pPr>
    </w:p>
    <w:p w:rsidR="007536B6" w:rsidRPr="00A56C6F" w:rsidRDefault="007536B6" w:rsidP="007536B6">
      <w:pPr>
        <w:jc w:val="both"/>
        <w:rPr>
          <w:rFonts w:ascii="Arial" w:hAnsi="Arial" w:cs="Arial"/>
          <w:sz w:val="20"/>
          <w:szCs w:val="20"/>
        </w:rPr>
      </w:pPr>
      <w:r w:rsidRPr="00A56C6F">
        <w:rPr>
          <w:rFonts w:ascii="Arial" w:hAnsi="Arial" w:cs="Arial"/>
          <w:sz w:val="20"/>
          <w:szCs w:val="20"/>
        </w:rPr>
        <w:t>Le licenciement doit être prononcé dans le mois suivant la déclaration d’inaptitude</w:t>
      </w:r>
      <w:r w:rsidRPr="00A56C6F">
        <w:rPr>
          <w:rFonts w:ascii="Arial" w:hAnsi="Arial" w:cs="Arial"/>
          <w:bCs/>
          <w:sz w:val="20"/>
          <w:szCs w:val="20"/>
          <w:u w:val="single"/>
        </w:rPr>
        <w:t xml:space="preserve"> sans quoi l’employeur sera contraint de reprendre le versement du salaire.</w:t>
      </w:r>
    </w:p>
    <w:p w:rsidR="007536B6" w:rsidRPr="00A56C6F" w:rsidRDefault="007536B6" w:rsidP="007536B6">
      <w:pPr>
        <w:jc w:val="both"/>
        <w:rPr>
          <w:rFonts w:ascii="Arial" w:hAnsi="Arial" w:cs="Arial"/>
          <w:sz w:val="20"/>
          <w:szCs w:val="20"/>
        </w:rPr>
      </w:pPr>
    </w:p>
    <w:p w:rsidR="007536B6" w:rsidRPr="00A56C6F" w:rsidRDefault="007536B6" w:rsidP="007536B6">
      <w:pPr>
        <w:jc w:val="both"/>
        <w:rPr>
          <w:rFonts w:ascii="Arial" w:hAnsi="Arial" w:cs="Arial"/>
          <w:sz w:val="20"/>
          <w:szCs w:val="20"/>
        </w:rPr>
      </w:pPr>
      <w:r w:rsidRPr="00A56C6F">
        <w:rPr>
          <w:rFonts w:ascii="Arial" w:hAnsi="Arial" w:cs="Arial"/>
          <w:sz w:val="20"/>
          <w:szCs w:val="20"/>
        </w:rPr>
        <w:lastRenderedPageBreak/>
        <w:t>La procédure de licenciement doit obligatoirement être respectée.</w:t>
      </w:r>
    </w:p>
    <w:p w:rsidR="007536B6" w:rsidRPr="00A56C6F" w:rsidRDefault="007536B6" w:rsidP="007536B6">
      <w:pPr>
        <w:jc w:val="both"/>
        <w:rPr>
          <w:rFonts w:ascii="Arial" w:hAnsi="Arial" w:cs="Arial"/>
          <w:b/>
          <w:sz w:val="20"/>
          <w:szCs w:val="20"/>
        </w:rPr>
      </w:pPr>
    </w:p>
    <w:p w:rsidR="007536B6" w:rsidRPr="00A56C6F" w:rsidRDefault="007536B6" w:rsidP="007536B6">
      <w:pPr>
        <w:pStyle w:val="Paragraphedeliste"/>
        <w:numPr>
          <w:ilvl w:val="0"/>
          <w:numId w:val="3"/>
        </w:numPr>
        <w:tabs>
          <w:tab w:val="num" w:pos="0"/>
        </w:tabs>
        <w:ind w:left="284"/>
        <w:jc w:val="both"/>
        <w:rPr>
          <w:rFonts w:ascii="Arial" w:hAnsi="Arial" w:cs="Arial"/>
          <w:b/>
          <w:color w:val="40BAD2" w:themeColor="accent1"/>
          <w:sz w:val="20"/>
          <w:szCs w:val="20"/>
        </w:rPr>
      </w:pPr>
      <w:r w:rsidRPr="00A56C6F">
        <w:rPr>
          <w:rFonts w:ascii="Arial" w:hAnsi="Arial" w:cs="Arial"/>
          <w:b/>
          <w:color w:val="40BAD2" w:themeColor="accent1"/>
          <w:sz w:val="20"/>
          <w:szCs w:val="20"/>
        </w:rPr>
        <w:t>Convocation à un entretien préalable à un éventuel licenciement</w:t>
      </w:r>
    </w:p>
    <w:p w:rsidR="007536B6" w:rsidRPr="00A56C6F" w:rsidRDefault="007536B6" w:rsidP="007536B6">
      <w:pPr>
        <w:jc w:val="both"/>
        <w:rPr>
          <w:rFonts w:ascii="Arial" w:hAnsi="Arial" w:cs="Arial"/>
          <w:b/>
          <w:sz w:val="20"/>
          <w:szCs w:val="20"/>
        </w:rPr>
      </w:pPr>
    </w:p>
    <w:p w:rsidR="007536B6" w:rsidRPr="00A56C6F" w:rsidRDefault="007536B6" w:rsidP="007536B6">
      <w:pPr>
        <w:jc w:val="both"/>
        <w:rPr>
          <w:rFonts w:ascii="Arial" w:hAnsi="Arial" w:cs="Arial"/>
          <w:sz w:val="20"/>
          <w:szCs w:val="20"/>
        </w:rPr>
      </w:pPr>
      <w:r w:rsidRPr="00A56C6F">
        <w:rPr>
          <w:rFonts w:ascii="Arial" w:hAnsi="Arial" w:cs="Arial"/>
          <w:sz w:val="20"/>
          <w:szCs w:val="20"/>
        </w:rPr>
        <w:t>La convocation peut être remise en main propre contre décharge ou envoyée en recommandé avec accusé de réception au domicile du salarié.</w:t>
      </w:r>
    </w:p>
    <w:p w:rsidR="007536B6" w:rsidRPr="00A56C6F" w:rsidRDefault="007536B6" w:rsidP="007536B6">
      <w:pPr>
        <w:jc w:val="both"/>
        <w:rPr>
          <w:rFonts w:ascii="Arial" w:hAnsi="Arial" w:cs="Arial"/>
          <w:sz w:val="20"/>
          <w:szCs w:val="20"/>
        </w:rPr>
      </w:pPr>
    </w:p>
    <w:p w:rsidR="007536B6" w:rsidRPr="00A56C6F" w:rsidRDefault="007536B6" w:rsidP="007536B6">
      <w:pPr>
        <w:jc w:val="both"/>
        <w:rPr>
          <w:rFonts w:ascii="Arial" w:hAnsi="Arial" w:cs="Arial"/>
          <w:i/>
          <w:sz w:val="20"/>
          <w:szCs w:val="20"/>
        </w:rPr>
      </w:pPr>
      <w:r w:rsidRPr="00A56C6F">
        <w:rPr>
          <w:rFonts w:ascii="Arial" w:hAnsi="Arial" w:cs="Arial"/>
          <w:sz w:val="20"/>
          <w:szCs w:val="20"/>
        </w:rPr>
        <w:t>Le courrier doit mentionner son objet, à savoir la convocation du salarié à un entretien préalable à son éventuel licenciement (sans exposer les motifs), la date de l’entretien, ainsi que le lieu : le domicile de l’employeur</w:t>
      </w:r>
      <w:r w:rsidRPr="00A56C6F">
        <w:rPr>
          <w:rFonts w:ascii="Arial" w:hAnsi="Arial" w:cs="Arial"/>
          <w:i/>
          <w:sz w:val="20"/>
          <w:szCs w:val="20"/>
        </w:rPr>
        <w:t>.</w:t>
      </w:r>
    </w:p>
    <w:p w:rsidR="007536B6" w:rsidRPr="00A56C6F" w:rsidRDefault="007536B6" w:rsidP="007536B6">
      <w:pPr>
        <w:jc w:val="both"/>
        <w:rPr>
          <w:rFonts w:ascii="Arial" w:hAnsi="Arial" w:cs="Arial"/>
          <w:sz w:val="20"/>
          <w:szCs w:val="20"/>
        </w:rPr>
      </w:pPr>
    </w:p>
    <w:p w:rsidR="007536B6" w:rsidRPr="00A56C6F" w:rsidRDefault="007536B6" w:rsidP="007536B6">
      <w:pPr>
        <w:jc w:val="both"/>
        <w:rPr>
          <w:rFonts w:ascii="Arial" w:hAnsi="Arial" w:cs="Arial"/>
          <w:sz w:val="20"/>
          <w:szCs w:val="20"/>
        </w:rPr>
      </w:pPr>
      <w:r w:rsidRPr="00A56C6F">
        <w:rPr>
          <w:rFonts w:ascii="Arial" w:hAnsi="Arial" w:cs="Arial"/>
          <w:sz w:val="20"/>
          <w:szCs w:val="20"/>
        </w:rPr>
        <w:t xml:space="preserve">Il convient de respecter un délai de </w:t>
      </w:r>
      <w:r w:rsidRPr="00A56C6F">
        <w:rPr>
          <w:rFonts w:ascii="Arial" w:hAnsi="Arial" w:cs="Arial"/>
          <w:sz w:val="20"/>
          <w:szCs w:val="20"/>
          <w:u w:val="single"/>
        </w:rPr>
        <w:t>5 jours ouvrables</w:t>
      </w:r>
      <w:r w:rsidRPr="00A56C6F">
        <w:rPr>
          <w:rFonts w:ascii="Arial" w:hAnsi="Arial" w:cs="Arial"/>
          <w:sz w:val="20"/>
          <w:szCs w:val="20"/>
        </w:rPr>
        <w:t xml:space="preserve"> (tous les jours sauf dimanche et jours fériés) entre  la remise en main propre de la convocation ou la première présentation du courrier au domicile du salarié et la date de l’entretien préalable</w:t>
      </w:r>
      <w:r w:rsidRPr="00A56C6F">
        <w:rPr>
          <w:rStyle w:val="Appelnotedebasdep"/>
          <w:rFonts w:ascii="Arial" w:hAnsi="Arial" w:cs="Arial"/>
          <w:sz w:val="20"/>
          <w:szCs w:val="20"/>
        </w:rPr>
        <w:footnoteReference w:id="4"/>
      </w:r>
      <w:r w:rsidRPr="00A56C6F">
        <w:rPr>
          <w:rFonts w:ascii="Arial" w:hAnsi="Arial" w:cs="Arial"/>
          <w:sz w:val="20"/>
          <w:szCs w:val="20"/>
        </w:rPr>
        <w:t>.</w:t>
      </w:r>
    </w:p>
    <w:p w:rsidR="007536B6" w:rsidRPr="00A56C6F" w:rsidRDefault="007536B6" w:rsidP="007536B6">
      <w:pPr>
        <w:jc w:val="both"/>
        <w:rPr>
          <w:rFonts w:ascii="Arial" w:hAnsi="Arial" w:cs="Arial"/>
          <w:sz w:val="20"/>
          <w:szCs w:val="20"/>
        </w:rPr>
      </w:pPr>
    </w:p>
    <w:p w:rsidR="007536B6" w:rsidRPr="00A56C6F" w:rsidRDefault="007536B6" w:rsidP="007536B6">
      <w:pPr>
        <w:pStyle w:val="Paragraphedeliste"/>
        <w:numPr>
          <w:ilvl w:val="0"/>
          <w:numId w:val="3"/>
        </w:numPr>
        <w:tabs>
          <w:tab w:val="num" w:pos="0"/>
        </w:tabs>
        <w:ind w:left="426"/>
        <w:jc w:val="both"/>
        <w:rPr>
          <w:rFonts w:ascii="Arial" w:hAnsi="Arial" w:cs="Arial"/>
          <w:b/>
          <w:color w:val="40BAD2" w:themeColor="accent1"/>
          <w:sz w:val="20"/>
          <w:szCs w:val="20"/>
        </w:rPr>
      </w:pPr>
      <w:r w:rsidRPr="00A56C6F">
        <w:rPr>
          <w:rFonts w:ascii="Arial" w:hAnsi="Arial" w:cs="Arial"/>
          <w:b/>
          <w:color w:val="40BAD2" w:themeColor="accent1"/>
          <w:sz w:val="20"/>
          <w:szCs w:val="20"/>
        </w:rPr>
        <w:t>Entretien préalable</w:t>
      </w:r>
    </w:p>
    <w:p w:rsidR="007536B6" w:rsidRPr="00A56C6F" w:rsidRDefault="007536B6" w:rsidP="007536B6">
      <w:pPr>
        <w:ind w:left="360"/>
        <w:jc w:val="both"/>
        <w:rPr>
          <w:rFonts w:ascii="Arial" w:hAnsi="Arial" w:cs="Arial"/>
          <w:b/>
          <w:sz w:val="20"/>
          <w:szCs w:val="20"/>
        </w:rPr>
      </w:pPr>
    </w:p>
    <w:p w:rsidR="007536B6" w:rsidRPr="00A56C6F" w:rsidRDefault="007536B6" w:rsidP="007536B6">
      <w:pPr>
        <w:jc w:val="both"/>
        <w:rPr>
          <w:rFonts w:ascii="Arial" w:hAnsi="Arial" w:cs="Arial"/>
          <w:sz w:val="20"/>
          <w:szCs w:val="20"/>
        </w:rPr>
      </w:pPr>
      <w:r w:rsidRPr="00A56C6F">
        <w:rPr>
          <w:rFonts w:ascii="Arial" w:hAnsi="Arial" w:cs="Arial"/>
          <w:sz w:val="20"/>
          <w:szCs w:val="20"/>
        </w:rPr>
        <w:t xml:space="preserve">Cet entretien se déroule sur le lieu de travail. Au cours de celui-ci, </w:t>
      </w:r>
      <w:proofErr w:type="gramStart"/>
      <w:r w:rsidRPr="00A56C6F">
        <w:rPr>
          <w:rFonts w:ascii="Arial" w:hAnsi="Arial" w:cs="Arial"/>
          <w:sz w:val="20"/>
          <w:szCs w:val="20"/>
        </w:rPr>
        <w:t>l’employeur  explique</w:t>
      </w:r>
      <w:proofErr w:type="gramEnd"/>
      <w:r w:rsidRPr="00A56C6F">
        <w:rPr>
          <w:rFonts w:ascii="Arial" w:hAnsi="Arial" w:cs="Arial"/>
          <w:sz w:val="20"/>
          <w:szCs w:val="20"/>
        </w:rPr>
        <w:t xml:space="preserve"> au salarié les motifs qui l’amène à envisager son licenciement. Le salarié doit également être entendu. L’absence du salarié, ne suspend pas la procédure.</w:t>
      </w:r>
    </w:p>
    <w:p w:rsidR="007536B6" w:rsidRPr="00A56C6F" w:rsidRDefault="007536B6" w:rsidP="007536B6">
      <w:pPr>
        <w:jc w:val="both"/>
        <w:rPr>
          <w:rFonts w:ascii="Arial" w:hAnsi="Arial" w:cs="Arial"/>
          <w:sz w:val="20"/>
          <w:szCs w:val="20"/>
        </w:rPr>
      </w:pPr>
    </w:p>
    <w:p w:rsidR="007536B6" w:rsidRPr="00A56C6F" w:rsidRDefault="007536B6" w:rsidP="007536B6">
      <w:pPr>
        <w:jc w:val="both"/>
        <w:rPr>
          <w:rFonts w:ascii="Arial" w:hAnsi="Arial" w:cs="Arial"/>
          <w:sz w:val="20"/>
          <w:szCs w:val="20"/>
        </w:rPr>
      </w:pPr>
      <w:r w:rsidRPr="00A56C6F">
        <w:rPr>
          <w:rFonts w:ascii="Arial" w:hAnsi="Arial" w:cs="Arial"/>
          <w:i/>
          <w:sz w:val="20"/>
          <w:szCs w:val="20"/>
          <w:u w:val="single"/>
        </w:rPr>
        <w:t>A noter :</w:t>
      </w:r>
      <w:r w:rsidRPr="00A56C6F">
        <w:rPr>
          <w:rFonts w:ascii="Arial" w:hAnsi="Arial" w:cs="Arial"/>
          <w:sz w:val="20"/>
          <w:szCs w:val="20"/>
        </w:rPr>
        <w:t xml:space="preserve"> Les règles concernant l’assistance du salarié ne s’appliquent pas aux salariés du particulier employeur</w:t>
      </w:r>
      <w:r>
        <w:rPr>
          <w:rFonts w:ascii="Arial" w:hAnsi="Arial" w:cs="Arial"/>
          <w:sz w:val="20"/>
          <w:szCs w:val="20"/>
        </w:rPr>
        <w:t>.</w:t>
      </w:r>
    </w:p>
    <w:p w:rsidR="007536B6" w:rsidRPr="00A56C6F" w:rsidRDefault="007536B6" w:rsidP="007536B6">
      <w:pPr>
        <w:jc w:val="both"/>
        <w:rPr>
          <w:rFonts w:ascii="Arial" w:hAnsi="Arial" w:cs="Arial"/>
          <w:sz w:val="20"/>
          <w:szCs w:val="20"/>
        </w:rPr>
      </w:pPr>
    </w:p>
    <w:p w:rsidR="007536B6" w:rsidRPr="00A56C6F" w:rsidRDefault="007536B6" w:rsidP="007536B6">
      <w:pPr>
        <w:pStyle w:val="Paragraphedeliste"/>
        <w:numPr>
          <w:ilvl w:val="0"/>
          <w:numId w:val="3"/>
        </w:numPr>
        <w:ind w:left="426"/>
        <w:jc w:val="both"/>
        <w:rPr>
          <w:rFonts w:ascii="Arial" w:hAnsi="Arial" w:cs="Arial"/>
          <w:b/>
          <w:color w:val="40BAD2" w:themeColor="accent1"/>
          <w:sz w:val="20"/>
          <w:szCs w:val="20"/>
        </w:rPr>
      </w:pPr>
      <w:r w:rsidRPr="00A56C6F">
        <w:rPr>
          <w:rFonts w:ascii="Arial" w:hAnsi="Arial" w:cs="Arial"/>
          <w:b/>
          <w:color w:val="40BAD2" w:themeColor="accent1"/>
          <w:sz w:val="20"/>
          <w:szCs w:val="20"/>
        </w:rPr>
        <w:t>Notification du licenciement</w:t>
      </w:r>
    </w:p>
    <w:p w:rsidR="007536B6" w:rsidRPr="00A56C6F" w:rsidRDefault="007536B6" w:rsidP="007536B6">
      <w:pPr>
        <w:jc w:val="both"/>
        <w:rPr>
          <w:rFonts w:ascii="Arial" w:hAnsi="Arial" w:cs="Arial"/>
          <w:sz w:val="20"/>
          <w:szCs w:val="20"/>
        </w:rPr>
      </w:pPr>
    </w:p>
    <w:p w:rsidR="007536B6" w:rsidRPr="00A56C6F" w:rsidRDefault="007536B6" w:rsidP="007536B6">
      <w:pPr>
        <w:jc w:val="both"/>
        <w:rPr>
          <w:rFonts w:ascii="Arial" w:hAnsi="Arial" w:cs="Arial"/>
          <w:sz w:val="20"/>
          <w:szCs w:val="20"/>
        </w:rPr>
      </w:pPr>
      <w:r w:rsidRPr="00A56C6F">
        <w:rPr>
          <w:rFonts w:ascii="Arial" w:hAnsi="Arial" w:cs="Arial"/>
          <w:sz w:val="20"/>
          <w:szCs w:val="20"/>
        </w:rPr>
        <w:t xml:space="preserve">La notification du licenciement doit avoir lieu par lettre recommandée avec accusé de réception </w:t>
      </w:r>
      <w:r w:rsidRPr="00A56C6F">
        <w:rPr>
          <w:rFonts w:ascii="Arial" w:hAnsi="Arial" w:cs="Arial"/>
          <w:sz w:val="20"/>
          <w:szCs w:val="20"/>
          <w:u w:val="single"/>
        </w:rPr>
        <w:t>au minimum deux jours ouvrables</w:t>
      </w:r>
      <w:r w:rsidRPr="00A56C6F">
        <w:rPr>
          <w:rStyle w:val="Appelnotedebasdep"/>
          <w:rFonts w:ascii="Arial" w:hAnsi="Arial" w:cs="Arial"/>
          <w:sz w:val="20"/>
          <w:szCs w:val="20"/>
          <w:u w:val="single"/>
        </w:rPr>
        <w:footnoteReference w:id="5"/>
      </w:r>
      <w:r w:rsidRPr="00A56C6F">
        <w:rPr>
          <w:rFonts w:ascii="Arial" w:hAnsi="Arial" w:cs="Arial"/>
          <w:sz w:val="20"/>
          <w:szCs w:val="20"/>
        </w:rPr>
        <w:t xml:space="preserve"> après l’entretien ou la date prévue pour l’entretien, s’il n’a pas eu lieu.</w:t>
      </w:r>
    </w:p>
    <w:p w:rsidR="007536B6" w:rsidRPr="00A56C6F" w:rsidRDefault="007536B6" w:rsidP="007536B6">
      <w:pPr>
        <w:jc w:val="both"/>
        <w:rPr>
          <w:rFonts w:ascii="Arial" w:hAnsi="Arial" w:cs="Arial"/>
          <w:sz w:val="20"/>
          <w:szCs w:val="20"/>
        </w:rPr>
      </w:pPr>
    </w:p>
    <w:p w:rsidR="007536B6" w:rsidRPr="00A56C6F" w:rsidRDefault="007536B6" w:rsidP="007536B6">
      <w:pPr>
        <w:jc w:val="both"/>
        <w:rPr>
          <w:rFonts w:ascii="Arial" w:hAnsi="Arial" w:cs="Arial"/>
          <w:sz w:val="20"/>
          <w:szCs w:val="20"/>
        </w:rPr>
      </w:pPr>
      <w:r w:rsidRPr="00A56C6F">
        <w:rPr>
          <w:rFonts w:ascii="Arial" w:hAnsi="Arial" w:cs="Arial"/>
          <w:sz w:val="20"/>
          <w:szCs w:val="20"/>
        </w:rPr>
        <w:t xml:space="preserve">Le courrier de notification doit notamment : </w:t>
      </w:r>
    </w:p>
    <w:p w:rsidR="007536B6" w:rsidRDefault="007536B6" w:rsidP="007536B6">
      <w:pPr>
        <w:pStyle w:val="Paragraphedeliste"/>
        <w:numPr>
          <w:ilvl w:val="0"/>
          <w:numId w:val="7"/>
        </w:numPr>
        <w:spacing w:after="200" w:line="276" w:lineRule="auto"/>
        <w:jc w:val="both"/>
        <w:rPr>
          <w:rFonts w:ascii="Arial" w:hAnsi="Arial" w:cs="Arial"/>
          <w:sz w:val="20"/>
          <w:szCs w:val="20"/>
        </w:rPr>
      </w:pPr>
      <w:proofErr w:type="gramStart"/>
      <w:r w:rsidRPr="00B44166">
        <w:rPr>
          <w:rFonts w:ascii="Arial" w:hAnsi="Arial" w:cs="Arial"/>
          <w:sz w:val="20"/>
          <w:szCs w:val="20"/>
        </w:rPr>
        <w:t>évoquer</w:t>
      </w:r>
      <w:proofErr w:type="gramEnd"/>
      <w:r w:rsidRPr="00B44166">
        <w:rPr>
          <w:rFonts w:ascii="Arial" w:hAnsi="Arial" w:cs="Arial"/>
          <w:sz w:val="20"/>
          <w:szCs w:val="20"/>
        </w:rPr>
        <w:t xml:space="preserve"> la déclaration d’inaptitude prononcée par le médecin du travail, et la date à laquelle elle a été prononcée ;</w:t>
      </w:r>
    </w:p>
    <w:p w:rsidR="007536B6" w:rsidRPr="00B44166" w:rsidRDefault="007536B6" w:rsidP="007536B6">
      <w:pPr>
        <w:pStyle w:val="Paragraphedeliste"/>
        <w:numPr>
          <w:ilvl w:val="0"/>
          <w:numId w:val="7"/>
        </w:numPr>
        <w:spacing w:after="200" w:line="276" w:lineRule="auto"/>
        <w:jc w:val="both"/>
        <w:rPr>
          <w:rFonts w:ascii="Arial" w:hAnsi="Arial" w:cs="Arial"/>
          <w:sz w:val="20"/>
          <w:szCs w:val="20"/>
        </w:rPr>
      </w:pPr>
      <w:proofErr w:type="gramStart"/>
      <w:r w:rsidRPr="00B44166">
        <w:rPr>
          <w:rFonts w:ascii="Arial" w:hAnsi="Arial" w:cs="Arial"/>
          <w:sz w:val="20"/>
          <w:szCs w:val="20"/>
        </w:rPr>
        <w:t>justifier</w:t>
      </w:r>
      <w:proofErr w:type="gramEnd"/>
      <w:r w:rsidRPr="00B44166">
        <w:rPr>
          <w:rFonts w:ascii="Arial" w:hAnsi="Arial" w:cs="Arial"/>
          <w:sz w:val="20"/>
          <w:szCs w:val="20"/>
        </w:rPr>
        <w:t xml:space="preserve"> de l’impossibilité dans laquelle l’employeur se trouve de donner suite aux propositions du médecin du travail (en adaptant le poste du salarié) ou de reclasser le salarié à un autre poste compatible avec ses capacités.</w:t>
      </w:r>
    </w:p>
    <w:p w:rsidR="007536B6" w:rsidRPr="00A56C6F" w:rsidRDefault="007536B6" w:rsidP="007536B6">
      <w:pPr>
        <w:pStyle w:val="Default"/>
        <w:jc w:val="both"/>
        <w:rPr>
          <w:rFonts w:ascii="Arial" w:hAnsi="Arial" w:cs="Arial"/>
          <w:sz w:val="20"/>
          <w:szCs w:val="20"/>
        </w:rPr>
      </w:pPr>
      <w:r w:rsidRPr="00A56C6F">
        <w:rPr>
          <w:rFonts w:ascii="Arial" w:hAnsi="Arial" w:cs="Arial"/>
          <w:sz w:val="20"/>
          <w:szCs w:val="20"/>
        </w:rPr>
        <w:t xml:space="preserve">La date de fin de contrat est </w:t>
      </w:r>
      <w:r w:rsidRPr="00A56C6F">
        <w:rPr>
          <w:rFonts w:ascii="Arial" w:hAnsi="Arial" w:cs="Arial"/>
          <w:sz w:val="20"/>
          <w:szCs w:val="20"/>
          <w:u w:val="single"/>
        </w:rPr>
        <w:t>la date d’envoi de la lettre de licenciement</w:t>
      </w:r>
      <w:r w:rsidRPr="00A56C6F">
        <w:rPr>
          <w:rFonts w:ascii="Arial" w:hAnsi="Arial" w:cs="Arial"/>
          <w:sz w:val="20"/>
          <w:szCs w:val="20"/>
        </w:rPr>
        <w:t>.</w:t>
      </w:r>
    </w:p>
    <w:p w:rsidR="007536B6" w:rsidRPr="00A56C6F" w:rsidRDefault="007536B6" w:rsidP="007536B6">
      <w:pPr>
        <w:pStyle w:val="Default"/>
        <w:jc w:val="both"/>
        <w:rPr>
          <w:rFonts w:ascii="Arial" w:hAnsi="Arial" w:cs="Arial"/>
          <w:sz w:val="20"/>
          <w:szCs w:val="20"/>
        </w:rPr>
      </w:pPr>
    </w:p>
    <w:p w:rsidR="007536B6" w:rsidRPr="00A56C6F" w:rsidRDefault="007536B6" w:rsidP="007536B6">
      <w:pPr>
        <w:pStyle w:val="Default"/>
        <w:jc w:val="both"/>
        <w:rPr>
          <w:rFonts w:ascii="Arial" w:hAnsi="Arial" w:cs="Arial"/>
          <w:sz w:val="20"/>
          <w:szCs w:val="20"/>
        </w:rPr>
      </w:pPr>
      <w:r w:rsidRPr="00A56C6F">
        <w:rPr>
          <w:rFonts w:ascii="Arial" w:hAnsi="Arial" w:cs="Arial"/>
          <w:sz w:val="20"/>
          <w:szCs w:val="20"/>
        </w:rPr>
        <w:t>Dès cette date, l’employeur doit verser les indemnités de fin de contrat dues et tenir à la disposition du salarié les documents de fin de contrat sur le lieu de travail.</w:t>
      </w:r>
    </w:p>
    <w:p w:rsidR="007536B6" w:rsidRDefault="007536B6" w:rsidP="007536B6">
      <w:pPr>
        <w:pStyle w:val="Default"/>
        <w:jc w:val="both"/>
        <w:rPr>
          <w:rFonts w:ascii="Arial" w:hAnsi="Arial" w:cs="Arial"/>
          <w:sz w:val="20"/>
          <w:szCs w:val="20"/>
        </w:rPr>
      </w:pPr>
    </w:p>
    <w:p w:rsidR="007536B6" w:rsidRPr="00A56C6F" w:rsidRDefault="007536B6" w:rsidP="007536B6">
      <w:pPr>
        <w:pStyle w:val="Default"/>
        <w:jc w:val="both"/>
        <w:rPr>
          <w:rFonts w:ascii="Arial" w:hAnsi="Arial" w:cs="Arial"/>
          <w:sz w:val="20"/>
          <w:szCs w:val="20"/>
        </w:rPr>
      </w:pPr>
    </w:p>
    <w:p w:rsidR="007536B6" w:rsidRPr="00A56C6F" w:rsidRDefault="007536B6" w:rsidP="007536B6">
      <w:pPr>
        <w:pStyle w:val="Default"/>
        <w:numPr>
          <w:ilvl w:val="0"/>
          <w:numId w:val="1"/>
        </w:numPr>
        <w:jc w:val="both"/>
        <w:rPr>
          <w:rFonts w:ascii="Arial" w:hAnsi="Arial" w:cs="Arial"/>
          <w:b/>
          <w:color w:val="A62326" w:themeColor="accent6" w:themeShade="BF"/>
          <w:sz w:val="20"/>
          <w:szCs w:val="20"/>
          <w:u w:val="single"/>
        </w:rPr>
      </w:pPr>
      <w:r w:rsidRPr="00A56C6F">
        <w:rPr>
          <w:rFonts w:ascii="Arial" w:hAnsi="Arial" w:cs="Arial"/>
          <w:b/>
          <w:color w:val="A62326" w:themeColor="accent6" w:themeShade="BF"/>
          <w:sz w:val="20"/>
          <w:szCs w:val="20"/>
          <w:u w:val="single"/>
        </w:rPr>
        <w:t>Les indemnités de fin de contrat dues</w:t>
      </w:r>
    </w:p>
    <w:p w:rsidR="007536B6" w:rsidRPr="00A56C6F" w:rsidRDefault="007536B6" w:rsidP="007536B6">
      <w:pPr>
        <w:pStyle w:val="Default"/>
        <w:jc w:val="both"/>
        <w:rPr>
          <w:rFonts w:ascii="Arial" w:hAnsi="Arial" w:cs="Arial"/>
          <w:sz w:val="20"/>
          <w:szCs w:val="20"/>
        </w:rPr>
      </w:pPr>
    </w:p>
    <w:p w:rsidR="007536B6" w:rsidRPr="00A56C6F" w:rsidRDefault="007536B6" w:rsidP="007536B6">
      <w:pPr>
        <w:pStyle w:val="Default"/>
        <w:jc w:val="both"/>
        <w:rPr>
          <w:rFonts w:ascii="Arial" w:hAnsi="Arial" w:cs="Arial"/>
          <w:sz w:val="20"/>
          <w:szCs w:val="20"/>
        </w:rPr>
      </w:pPr>
      <w:r w:rsidRPr="00A56C6F">
        <w:rPr>
          <w:rFonts w:ascii="Arial" w:hAnsi="Arial" w:cs="Arial"/>
          <w:sz w:val="20"/>
          <w:szCs w:val="20"/>
        </w:rPr>
        <w:t xml:space="preserve">Les indemnités dues au salarié diffèrent selon l’origine de l’inaptitude déclarée. </w:t>
      </w:r>
    </w:p>
    <w:p w:rsidR="007536B6" w:rsidRPr="00A56C6F" w:rsidRDefault="007536B6" w:rsidP="007536B6">
      <w:pPr>
        <w:pStyle w:val="Default"/>
        <w:jc w:val="both"/>
        <w:rPr>
          <w:rFonts w:ascii="Arial" w:hAnsi="Arial" w:cs="Arial"/>
          <w:sz w:val="20"/>
          <w:szCs w:val="20"/>
        </w:rPr>
      </w:pPr>
    </w:p>
    <w:p w:rsidR="007536B6" w:rsidRPr="00A56C6F" w:rsidRDefault="007536B6" w:rsidP="007536B6">
      <w:pPr>
        <w:pStyle w:val="Default"/>
        <w:numPr>
          <w:ilvl w:val="0"/>
          <w:numId w:val="2"/>
        </w:numPr>
        <w:ind w:left="426"/>
        <w:jc w:val="both"/>
        <w:rPr>
          <w:rFonts w:ascii="Arial" w:hAnsi="Arial" w:cs="Arial"/>
          <w:b/>
          <w:color w:val="40BAD2" w:themeColor="accent1"/>
          <w:sz w:val="20"/>
          <w:szCs w:val="20"/>
        </w:rPr>
      </w:pPr>
      <w:r w:rsidRPr="00A56C6F">
        <w:rPr>
          <w:rFonts w:ascii="Arial" w:hAnsi="Arial" w:cs="Arial"/>
          <w:b/>
          <w:color w:val="40BAD2" w:themeColor="accent1"/>
          <w:sz w:val="20"/>
          <w:szCs w:val="20"/>
        </w:rPr>
        <w:t>Indemnité compensatrice de préavis</w:t>
      </w:r>
    </w:p>
    <w:p w:rsidR="007536B6" w:rsidRPr="00A53FFC" w:rsidRDefault="007536B6" w:rsidP="007536B6">
      <w:pPr>
        <w:pStyle w:val="Default"/>
        <w:jc w:val="both"/>
        <w:rPr>
          <w:b/>
          <w:color w:val="40BAD2" w:themeColor="accent1"/>
          <w:sz w:val="20"/>
          <w:szCs w:val="20"/>
        </w:rPr>
      </w:pPr>
    </w:p>
    <w:p w:rsidR="007536B6" w:rsidRPr="00A56C6F" w:rsidRDefault="007536B6" w:rsidP="007536B6">
      <w:pPr>
        <w:pStyle w:val="Default"/>
        <w:jc w:val="both"/>
        <w:rPr>
          <w:rFonts w:ascii="Arial" w:hAnsi="Arial" w:cs="Arial"/>
          <w:sz w:val="20"/>
          <w:szCs w:val="20"/>
        </w:rPr>
      </w:pPr>
      <w:r w:rsidRPr="00A56C6F">
        <w:rPr>
          <w:rFonts w:ascii="Arial" w:hAnsi="Arial" w:cs="Arial"/>
          <w:sz w:val="20"/>
          <w:szCs w:val="20"/>
        </w:rPr>
        <w:t xml:space="preserve">En cas de licenciement consécutif à l’inaptitude du salarié, </w:t>
      </w:r>
      <w:r w:rsidRPr="00A56C6F">
        <w:rPr>
          <w:rFonts w:ascii="Arial" w:hAnsi="Arial" w:cs="Arial"/>
          <w:sz w:val="20"/>
          <w:szCs w:val="20"/>
          <w:u w:val="single"/>
        </w:rPr>
        <w:t xml:space="preserve">le préavis n'est pas exécuté </w:t>
      </w:r>
      <w:r w:rsidRPr="00A56C6F">
        <w:rPr>
          <w:rFonts w:ascii="Arial" w:hAnsi="Arial" w:cs="Arial"/>
          <w:sz w:val="20"/>
          <w:szCs w:val="20"/>
        </w:rPr>
        <w:t xml:space="preserve">et le contrat de travail est rompu à la date </w:t>
      </w:r>
      <w:r>
        <w:rPr>
          <w:rFonts w:ascii="Arial" w:hAnsi="Arial" w:cs="Arial"/>
          <w:sz w:val="20"/>
          <w:szCs w:val="20"/>
        </w:rPr>
        <w:t>de notification du licenciement.</w:t>
      </w:r>
    </w:p>
    <w:p w:rsidR="007536B6" w:rsidRPr="00A56C6F" w:rsidRDefault="007536B6" w:rsidP="007536B6">
      <w:pPr>
        <w:pStyle w:val="Default"/>
        <w:jc w:val="both"/>
        <w:rPr>
          <w:rFonts w:ascii="Arial" w:hAnsi="Arial" w:cs="Arial"/>
          <w:sz w:val="20"/>
          <w:szCs w:val="20"/>
        </w:rPr>
      </w:pPr>
    </w:p>
    <w:p w:rsidR="007536B6" w:rsidRPr="00A56C6F" w:rsidRDefault="007536B6" w:rsidP="007536B6">
      <w:pPr>
        <w:pStyle w:val="Default"/>
        <w:jc w:val="both"/>
        <w:rPr>
          <w:rFonts w:ascii="Arial" w:hAnsi="Arial" w:cs="Arial"/>
          <w:sz w:val="20"/>
          <w:szCs w:val="20"/>
        </w:rPr>
      </w:pPr>
      <w:r w:rsidRPr="00A56C6F">
        <w:rPr>
          <w:rFonts w:ascii="Arial" w:hAnsi="Arial" w:cs="Arial"/>
          <w:b/>
          <w:i/>
          <w:sz w:val="20"/>
          <w:szCs w:val="20"/>
          <w:u w:val="single"/>
        </w:rPr>
        <w:t>Si l’i</w:t>
      </w:r>
      <w:r w:rsidRPr="00A56C6F">
        <w:rPr>
          <w:rFonts w:ascii="Arial" w:hAnsi="Arial" w:cs="Arial"/>
          <w:b/>
          <w:i/>
          <w:color w:val="000000" w:themeColor="text1"/>
          <w:sz w:val="20"/>
          <w:szCs w:val="20"/>
          <w:u w:val="single"/>
        </w:rPr>
        <w:t>naptitude est d’origine non professionnelle</w:t>
      </w:r>
      <w:r w:rsidRPr="00A56C6F">
        <w:rPr>
          <w:rFonts w:ascii="Arial" w:hAnsi="Arial" w:cs="Arial"/>
          <w:sz w:val="20"/>
          <w:szCs w:val="20"/>
        </w:rPr>
        <w:t>, le salarié étant placé dans l’impossibilité d’effectuer son préavis suite à une pathologie non liée à son activité professionnelle, le préavis non effectué n’est pas indemnisé.</w:t>
      </w:r>
    </w:p>
    <w:p w:rsidR="007536B6" w:rsidRPr="00A56C6F" w:rsidRDefault="007536B6" w:rsidP="007536B6">
      <w:pPr>
        <w:pStyle w:val="Default"/>
        <w:jc w:val="both"/>
        <w:rPr>
          <w:rFonts w:ascii="Arial" w:hAnsi="Arial" w:cs="Arial"/>
          <w:b/>
          <w:i/>
          <w:sz w:val="20"/>
          <w:szCs w:val="20"/>
          <w:u w:val="single"/>
        </w:rPr>
      </w:pPr>
    </w:p>
    <w:p w:rsidR="007536B6" w:rsidRPr="00A56C6F" w:rsidRDefault="007536B6" w:rsidP="007536B6">
      <w:pPr>
        <w:pStyle w:val="Default"/>
        <w:jc w:val="both"/>
        <w:rPr>
          <w:rFonts w:ascii="Arial" w:hAnsi="Arial" w:cs="Arial"/>
          <w:b/>
          <w:sz w:val="20"/>
          <w:szCs w:val="20"/>
          <w:u w:val="single"/>
        </w:rPr>
      </w:pPr>
      <w:r w:rsidRPr="00A56C6F">
        <w:rPr>
          <w:rFonts w:ascii="Arial" w:hAnsi="Arial" w:cs="Arial"/>
          <w:b/>
          <w:i/>
          <w:sz w:val="20"/>
          <w:szCs w:val="20"/>
          <w:u w:val="single"/>
        </w:rPr>
        <w:lastRenderedPageBreak/>
        <w:t>Si l’i</w:t>
      </w:r>
      <w:r w:rsidRPr="00A56C6F">
        <w:rPr>
          <w:rFonts w:ascii="Arial" w:hAnsi="Arial" w:cs="Arial"/>
          <w:b/>
          <w:i/>
          <w:color w:val="000000" w:themeColor="text1"/>
          <w:sz w:val="20"/>
          <w:szCs w:val="20"/>
          <w:u w:val="single"/>
        </w:rPr>
        <w:t>naptitude est  d’origine professionnelle</w:t>
      </w:r>
      <w:r w:rsidRPr="00A56C6F">
        <w:rPr>
          <w:rFonts w:ascii="Arial" w:hAnsi="Arial" w:cs="Arial"/>
          <w:b/>
          <w:sz w:val="20"/>
          <w:szCs w:val="20"/>
          <w:u w:val="single"/>
        </w:rPr>
        <w:t>,</w:t>
      </w:r>
      <w:r w:rsidRPr="00A56C6F">
        <w:rPr>
          <w:rFonts w:ascii="Arial" w:hAnsi="Arial" w:cs="Arial"/>
          <w:sz w:val="20"/>
          <w:szCs w:val="20"/>
        </w:rPr>
        <w:t xml:space="preserve"> le salarié a le droit à une indemnité compensatrice de préavis</w:t>
      </w:r>
      <w:r w:rsidRPr="00A56C6F">
        <w:rPr>
          <w:rStyle w:val="Appelnotedebasdep"/>
          <w:rFonts w:ascii="Arial" w:hAnsi="Arial" w:cs="Arial"/>
          <w:sz w:val="20"/>
          <w:szCs w:val="20"/>
        </w:rPr>
        <w:footnoteReference w:id="6"/>
      </w:r>
      <w:r w:rsidRPr="00A56C6F">
        <w:rPr>
          <w:rFonts w:ascii="Arial" w:hAnsi="Arial" w:cs="Arial"/>
          <w:sz w:val="20"/>
          <w:szCs w:val="20"/>
        </w:rPr>
        <w:t>.</w:t>
      </w:r>
    </w:p>
    <w:p w:rsidR="007536B6" w:rsidRPr="00A56C6F" w:rsidRDefault="007536B6" w:rsidP="007536B6">
      <w:pPr>
        <w:pStyle w:val="Default"/>
        <w:jc w:val="both"/>
        <w:rPr>
          <w:rFonts w:ascii="Arial" w:hAnsi="Arial" w:cs="Arial"/>
          <w:sz w:val="20"/>
          <w:szCs w:val="20"/>
        </w:rPr>
      </w:pPr>
    </w:p>
    <w:p w:rsidR="007536B6" w:rsidRPr="00A56C6F" w:rsidRDefault="007536B6" w:rsidP="007536B6">
      <w:pPr>
        <w:pStyle w:val="Default"/>
        <w:jc w:val="both"/>
        <w:rPr>
          <w:rFonts w:ascii="Arial" w:hAnsi="Arial" w:cs="Arial"/>
          <w:sz w:val="20"/>
          <w:szCs w:val="20"/>
        </w:rPr>
      </w:pPr>
      <w:r w:rsidRPr="00A56C6F">
        <w:rPr>
          <w:rFonts w:ascii="Arial" w:hAnsi="Arial" w:cs="Arial"/>
          <w:sz w:val="20"/>
          <w:szCs w:val="20"/>
        </w:rPr>
        <w:t>Le montant de celle-ci est calculé sur la base du salaire mensuel moyen brut qui aurait été perçu par l'intéressé au cours des 3 derniers mois s’il avait continué à travailler au poste occupé avant la suspension du contrat de travail provoquée par l'accident du travail ou la maladie professionnelle.</w:t>
      </w:r>
    </w:p>
    <w:p w:rsidR="007536B6" w:rsidRPr="00A56C6F" w:rsidRDefault="007536B6" w:rsidP="007536B6">
      <w:pPr>
        <w:pStyle w:val="Default"/>
        <w:jc w:val="both"/>
        <w:rPr>
          <w:rFonts w:ascii="Arial" w:hAnsi="Arial" w:cs="Arial"/>
          <w:sz w:val="20"/>
          <w:szCs w:val="20"/>
        </w:rPr>
      </w:pPr>
    </w:p>
    <w:p w:rsidR="007536B6" w:rsidRPr="00A56C6F" w:rsidRDefault="007536B6" w:rsidP="007536B6">
      <w:pPr>
        <w:jc w:val="both"/>
        <w:rPr>
          <w:rFonts w:ascii="Arial" w:hAnsi="Arial" w:cs="Arial"/>
          <w:b/>
          <w:sz w:val="20"/>
          <w:szCs w:val="20"/>
        </w:rPr>
      </w:pPr>
      <w:r w:rsidRPr="00A56C6F">
        <w:rPr>
          <w:rFonts w:ascii="Arial" w:hAnsi="Arial" w:cs="Arial"/>
          <w:sz w:val="20"/>
          <w:szCs w:val="20"/>
        </w:rPr>
        <w:t>Cette indemnité est soumise à cotisations et doit donc être déclarée.</w:t>
      </w:r>
    </w:p>
    <w:p w:rsidR="007536B6" w:rsidRPr="00A56C6F" w:rsidRDefault="007536B6" w:rsidP="007536B6">
      <w:pPr>
        <w:pStyle w:val="Default"/>
        <w:jc w:val="both"/>
        <w:rPr>
          <w:rFonts w:ascii="Arial" w:hAnsi="Arial" w:cs="Arial"/>
          <w:sz w:val="20"/>
          <w:szCs w:val="20"/>
        </w:rPr>
      </w:pPr>
    </w:p>
    <w:p w:rsidR="007536B6" w:rsidRPr="00A56C6F" w:rsidRDefault="007536B6" w:rsidP="007536B6">
      <w:pPr>
        <w:pStyle w:val="Default"/>
        <w:numPr>
          <w:ilvl w:val="0"/>
          <w:numId w:val="2"/>
        </w:numPr>
        <w:ind w:left="426"/>
        <w:jc w:val="both"/>
        <w:rPr>
          <w:rFonts w:ascii="Arial" w:hAnsi="Arial" w:cs="Arial"/>
          <w:b/>
          <w:color w:val="40BAD2" w:themeColor="accent1"/>
          <w:sz w:val="20"/>
          <w:szCs w:val="20"/>
        </w:rPr>
      </w:pPr>
      <w:r w:rsidRPr="00A56C6F">
        <w:rPr>
          <w:rFonts w:ascii="Arial" w:hAnsi="Arial" w:cs="Arial"/>
          <w:b/>
          <w:color w:val="40BAD2" w:themeColor="accent1"/>
          <w:sz w:val="20"/>
          <w:szCs w:val="20"/>
        </w:rPr>
        <w:t>Indemnité compensatrice de congés payés</w:t>
      </w:r>
    </w:p>
    <w:p w:rsidR="007536B6" w:rsidRPr="00A56C6F" w:rsidRDefault="007536B6" w:rsidP="007536B6">
      <w:pPr>
        <w:pStyle w:val="Default"/>
        <w:jc w:val="both"/>
        <w:rPr>
          <w:rFonts w:ascii="Arial" w:hAnsi="Arial" w:cs="Arial"/>
          <w:i/>
          <w:sz w:val="20"/>
          <w:szCs w:val="20"/>
        </w:rPr>
      </w:pPr>
    </w:p>
    <w:p w:rsidR="007536B6" w:rsidRPr="00A56C6F" w:rsidRDefault="007536B6" w:rsidP="007536B6">
      <w:pPr>
        <w:jc w:val="both"/>
        <w:rPr>
          <w:rFonts w:ascii="Arial" w:hAnsi="Arial" w:cs="Arial"/>
          <w:sz w:val="20"/>
          <w:szCs w:val="20"/>
        </w:rPr>
      </w:pPr>
      <w:r w:rsidRPr="00A56C6F">
        <w:rPr>
          <w:rFonts w:ascii="Arial" w:hAnsi="Arial" w:cs="Arial"/>
          <w:sz w:val="20"/>
          <w:szCs w:val="20"/>
        </w:rPr>
        <w:t>L’employeur doit indemniser les congés payés acquis par</w:t>
      </w:r>
      <w:r>
        <w:rPr>
          <w:rFonts w:ascii="Arial" w:hAnsi="Arial" w:cs="Arial"/>
          <w:sz w:val="20"/>
          <w:szCs w:val="20"/>
        </w:rPr>
        <w:t xml:space="preserve"> le salarié au cours du contrat</w:t>
      </w:r>
      <w:r w:rsidRPr="00A56C6F">
        <w:rPr>
          <w:rFonts w:ascii="Arial" w:hAnsi="Arial" w:cs="Arial"/>
          <w:sz w:val="20"/>
          <w:szCs w:val="20"/>
        </w:rPr>
        <w:t xml:space="preserve"> et qui n’ont pas été pris avant le terme de celui-ci. </w:t>
      </w:r>
    </w:p>
    <w:p w:rsidR="007536B6" w:rsidRPr="00A56C6F" w:rsidRDefault="007536B6" w:rsidP="007536B6">
      <w:pPr>
        <w:pStyle w:val="Default"/>
        <w:jc w:val="both"/>
        <w:rPr>
          <w:rFonts w:ascii="Arial" w:hAnsi="Arial" w:cs="Arial"/>
          <w:b/>
          <w:i/>
          <w:sz w:val="20"/>
          <w:szCs w:val="20"/>
          <w:u w:val="single"/>
        </w:rPr>
      </w:pPr>
    </w:p>
    <w:p w:rsidR="007536B6" w:rsidRPr="00A56C6F" w:rsidRDefault="007536B6" w:rsidP="007536B6">
      <w:pPr>
        <w:pStyle w:val="Default"/>
        <w:jc w:val="both"/>
        <w:rPr>
          <w:rFonts w:ascii="Arial" w:hAnsi="Arial" w:cs="Arial"/>
          <w:i/>
          <w:sz w:val="20"/>
          <w:szCs w:val="20"/>
        </w:rPr>
      </w:pPr>
      <w:r w:rsidRPr="00A56C6F">
        <w:rPr>
          <w:rFonts w:ascii="Arial" w:hAnsi="Arial" w:cs="Arial"/>
          <w:i/>
          <w:sz w:val="20"/>
          <w:szCs w:val="20"/>
          <w:u w:val="single"/>
        </w:rPr>
        <w:t>A noter :</w:t>
      </w:r>
      <w:r w:rsidRPr="00A56C6F">
        <w:rPr>
          <w:rFonts w:ascii="Arial" w:hAnsi="Arial" w:cs="Arial"/>
          <w:b/>
          <w:i/>
          <w:sz w:val="20"/>
          <w:szCs w:val="20"/>
        </w:rPr>
        <w:t xml:space="preserve"> </w:t>
      </w:r>
      <w:r w:rsidRPr="00A56C6F">
        <w:rPr>
          <w:rFonts w:ascii="Arial" w:hAnsi="Arial" w:cs="Arial"/>
          <w:i/>
          <w:sz w:val="20"/>
          <w:szCs w:val="20"/>
        </w:rPr>
        <w:t>si l’i</w:t>
      </w:r>
      <w:r w:rsidRPr="00A56C6F">
        <w:rPr>
          <w:rFonts w:ascii="Arial" w:hAnsi="Arial" w:cs="Arial"/>
          <w:i/>
          <w:color w:val="000000" w:themeColor="text1"/>
          <w:sz w:val="20"/>
          <w:szCs w:val="20"/>
        </w:rPr>
        <w:t xml:space="preserve">naptitude </w:t>
      </w:r>
      <w:proofErr w:type="gramStart"/>
      <w:r w:rsidRPr="00A56C6F">
        <w:rPr>
          <w:rFonts w:ascii="Arial" w:hAnsi="Arial" w:cs="Arial"/>
          <w:i/>
          <w:color w:val="000000" w:themeColor="text1"/>
          <w:sz w:val="20"/>
          <w:szCs w:val="20"/>
        </w:rPr>
        <w:t>est  d’origine</w:t>
      </w:r>
      <w:proofErr w:type="gramEnd"/>
      <w:r w:rsidRPr="00A56C6F">
        <w:rPr>
          <w:rFonts w:ascii="Arial" w:hAnsi="Arial" w:cs="Arial"/>
          <w:i/>
          <w:color w:val="000000" w:themeColor="text1"/>
          <w:sz w:val="20"/>
          <w:szCs w:val="20"/>
        </w:rPr>
        <w:t xml:space="preserve"> professionnelle</w:t>
      </w:r>
      <w:r w:rsidRPr="00A56C6F">
        <w:rPr>
          <w:rFonts w:ascii="Arial" w:hAnsi="Arial" w:cs="Arial"/>
          <w:sz w:val="20"/>
          <w:szCs w:val="20"/>
        </w:rPr>
        <w:t>,</w:t>
      </w:r>
      <w:r w:rsidRPr="00A56C6F">
        <w:rPr>
          <w:rFonts w:ascii="Arial" w:hAnsi="Arial" w:cs="Arial"/>
          <w:b/>
          <w:sz w:val="20"/>
          <w:szCs w:val="20"/>
        </w:rPr>
        <w:t xml:space="preserve"> </w:t>
      </w:r>
      <w:r w:rsidRPr="00A56C6F">
        <w:rPr>
          <w:rFonts w:ascii="Arial" w:hAnsi="Arial" w:cs="Arial"/>
          <w:sz w:val="20"/>
          <w:szCs w:val="20"/>
        </w:rPr>
        <w:t>le salarié a acquis des congés payés pendant la période de suspension du contrat pour maladie professionnelle ou accident du travail, dans la limite d’une durée ininterrompue d’un an.</w:t>
      </w:r>
    </w:p>
    <w:p w:rsidR="007536B6" w:rsidRPr="00A56C6F" w:rsidRDefault="007536B6" w:rsidP="007536B6">
      <w:pPr>
        <w:pStyle w:val="Default"/>
        <w:jc w:val="both"/>
        <w:rPr>
          <w:rFonts w:ascii="Arial" w:hAnsi="Arial" w:cs="Arial"/>
          <w:sz w:val="20"/>
          <w:szCs w:val="20"/>
        </w:rPr>
      </w:pPr>
    </w:p>
    <w:p w:rsidR="007536B6" w:rsidRPr="00A56C6F" w:rsidRDefault="007536B6" w:rsidP="007536B6">
      <w:pPr>
        <w:pStyle w:val="Default"/>
        <w:jc w:val="both"/>
        <w:rPr>
          <w:rFonts w:ascii="Arial" w:hAnsi="Arial" w:cs="Arial"/>
          <w:sz w:val="20"/>
          <w:szCs w:val="20"/>
        </w:rPr>
      </w:pPr>
      <w:r w:rsidRPr="00A56C6F">
        <w:rPr>
          <w:rFonts w:ascii="Arial" w:hAnsi="Arial" w:cs="Arial"/>
          <w:sz w:val="20"/>
          <w:szCs w:val="20"/>
        </w:rPr>
        <w:t xml:space="preserve">Si le salarié est déclaré par le biais du </w:t>
      </w:r>
      <w:proofErr w:type="spellStart"/>
      <w:r w:rsidRPr="00A56C6F">
        <w:rPr>
          <w:rFonts w:ascii="Arial" w:hAnsi="Arial" w:cs="Arial"/>
          <w:sz w:val="20"/>
          <w:szCs w:val="20"/>
        </w:rPr>
        <w:t>Cesu</w:t>
      </w:r>
      <w:proofErr w:type="spellEnd"/>
      <w:r>
        <w:rPr>
          <w:rFonts w:ascii="Arial" w:hAnsi="Arial" w:cs="Arial"/>
          <w:sz w:val="20"/>
          <w:szCs w:val="20"/>
        </w:rPr>
        <w:t>,</w:t>
      </w:r>
      <w:r w:rsidRPr="00A56C6F">
        <w:rPr>
          <w:rFonts w:ascii="Arial" w:hAnsi="Arial" w:cs="Arial"/>
          <w:sz w:val="20"/>
          <w:szCs w:val="20"/>
        </w:rPr>
        <w:t xml:space="preserve"> et que le salaire horaire inclus une majoration de 10% au titre des congés payés, aucune indemnité n’est due à ce titre.</w:t>
      </w:r>
    </w:p>
    <w:p w:rsidR="007536B6" w:rsidRPr="00A56C6F" w:rsidRDefault="007536B6" w:rsidP="007536B6">
      <w:pPr>
        <w:pStyle w:val="Default"/>
        <w:jc w:val="both"/>
        <w:rPr>
          <w:rFonts w:ascii="Arial" w:hAnsi="Arial" w:cs="Arial"/>
          <w:sz w:val="20"/>
          <w:szCs w:val="20"/>
        </w:rPr>
      </w:pPr>
    </w:p>
    <w:p w:rsidR="007536B6" w:rsidRPr="00A56C6F" w:rsidRDefault="007536B6" w:rsidP="007536B6">
      <w:pPr>
        <w:pStyle w:val="Default"/>
        <w:numPr>
          <w:ilvl w:val="0"/>
          <w:numId w:val="2"/>
        </w:numPr>
        <w:ind w:left="426"/>
        <w:jc w:val="both"/>
        <w:rPr>
          <w:rFonts w:ascii="Arial" w:hAnsi="Arial" w:cs="Arial"/>
          <w:b/>
          <w:color w:val="40BAD2" w:themeColor="accent1"/>
          <w:sz w:val="20"/>
          <w:szCs w:val="20"/>
        </w:rPr>
      </w:pPr>
      <w:r w:rsidRPr="00A56C6F">
        <w:rPr>
          <w:rFonts w:ascii="Arial" w:hAnsi="Arial" w:cs="Arial"/>
          <w:b/>
          <w:color w:val="40BAD2" w:themeColor="accent1"/>
          <w:sz w:val="20"/>
          <w:szCs w:val="20"/>
        </w:rPr>
        <w:t>Indemnité de licenciement</w:t>
      </w:r>
    </w:p>
    <w:p w:rsidR="007536B6" w:rsidRPr="00A56C6F" w:rsidRDefault="007536B6" w:rsidP="007536B6">
      <w:pPr>
        <w:pStyle w:val="Default"/>
        <w:jc w:val="both"/>
        <w:rPr>
          <w:rFonts w:ascii="Arial" w:hAnsi="Arial" w:cs="Arial"/>
          <w:i/>
          <w:color w:val="000000" w:themeColor="text1"/>
          <w:sz w:val="20"/>
          <w:szCs w:val="20"/>
        </w:rPr>
      </w:pPr>
    </w:p>
    <w:p w:rsidR="007536B6" w:rsidRPr="00A56C6F" w:rsidRDefault="007536B6" w:rsidP="007536B6">
      <w:pPr>
        <w:pStyle w:val="Default"/>
        <w:jc w:val="both"/>
        <w:rPr>
          <w:rFonts w:ascii="Arial" w:hAnsi="Arial" w:cs="Arial"/>
          <w:color w:val="000000" w:themeColor="text1"/>
          <w:sz w:val="20"/>
          <w:szCs w:val="20"/>
        </w:rPr>
      </w:pPr>
      <w:r w:rsidRPr="00A56C6F">
        <w:rPr>
          <w:rFonts w:ascii="Arial" w:hAnsi="Arial" w:cs="Arial"/>
          <w:b/>
          <w:i/>
          <w:sz w:val="20"/>
          <w:szCs w:val="20"/>
          <w:u w:val="single"/>
        </w:rPr>
        <w:t>Si l’i</w:t>
      </w:r>
      <w:r w:rsidRPr="00A56C6F">
        <w:rPr>
          <w:rFonts w:ascii="Arial" w:hAnsi="Arial" w:cs="Arial"/>
          <w:b/>
          <w:i/>
          <w:color w:val="000000" w:themeColor="text1"/>
          <w:sz w:val="20"/>
          <w:szCs w:val="20"/>
          <w:u w:val="single"/>
        </w:rPr>
        <w:t>naptitude est d’origine non professionnelle</w:t>
      </w:r>
      <w:r w:rsidRPr="00A56C6F">
        <w:rPr>
          <w:rFonts w:ascii="Arial" w:hAnsi="Arial" w:cs="Arial"/>
          <w:sz w:val="20"/>
          <w:szCs w:val="20"/>
        </w:rPr>
        <w:t xml:space="preserve">, </w:t>
      </w:r>
      <w:r w:rsidRPr="00A56C6F">
        <w:rPr>
          <w:rFonts w:ascii="Arial" w:hAnsi="Arial" w:cs="Arial"/>
          <w:color w:val="000000" w:themeColor="text1"/>
          <w:sz w:val="20"/>
          <w:szCs w:val="20"/>
        </w:rPr>
        <w:t>l’indemnité légale de licenciement est due si le salarié a une ancienneté égale ou supérieure à un an au jour de la notification du licenciement</w:t>
      </w:r>
      <w:r w:rsidRPr="00A56C6F">
        <w:rPr>
          <w:rStyle w:val="Appelnotedebasdep"/>
          <w:rFonts w:ascii="Arial" w:hAnsi="Arial" w:cs="Arial"/>
          <w:color w:val="000000" w:themeColor="text1"/>
          <w:sz w:val="20"/>
          <w:szCs w:val="20"/>
        </w:rPr>
        <w:footnoteReference w:id="7"/>
      </w:r>
      <w:r w:rsidRPr="00A56C6F">
        <w:rPr>
          <w:rFonts w:ascii="Arial" w:hAnsi="Arial" w:cs="Arial"/>
          <w:color w:val="000000" w:themeColor="text1"/>
          <w:sz w:val="20"/>
          <w:szCs w:val="20"/>
        </w:rPr>
        <w:t>.</w:t>
      </w:r>
    </w:p>
    <w:p w:rsidR="007536B6" w:rsidRPr="00A56C6F" w:rsidRDefault="007536B6" w:rsidP="007536B6">
      <w:pPr>
        <w:pStyle w:val="Default"/>
        <w:jc w:val="both"/>
        <w:rPr>
          <w:rFonts w:ascii="Arial" w:hAnsi="Arial" w:cs="Arial"/>
          <w:color w:val="000000" w:themeColor="text1"/>
          <w:sz w:val="20"/>
          <w:szCs w:val="20"/>
        </w:rPr>
      </w:pPr>
      <w:r w:rsidRPr="00A56C6F">
        <w:rPr>
          <w:rFonts w:ascii="Arial" w:hAnsi="Arial" w:cs="Arial"/>
          <w:color w:val="000000" w:themeColor="text1"/>
          <w:sz w:val="20"/>
          <w:szCs w:val="20"/>
        </w:rPr>
        <w:br/>
      </w:r>
      <w:r w:rsidRPr="00A56C6F">
        <w:rPr>
          <w:rFonts w:ascii="Arial" w:hAnsi="Arial" w:cs="Arial"/>
          <w:i/>
          <w:color w:val="000000" w:themeColor="text1"/>
          <w:sz w:val="20"/>
          <w:szCs w:val="20"/>
        </w:rPr>
        <w:t>A noter</w:t>
      </w:r>
      <w:r w:rsidRPr="00A56C6F">
        <w:rPr>
          <w:rFonts w:ascii="Arial" w:hAnsi="Arial" w:cs="Arial"/>
          <w:color w:val="000000" w:themeColor="text1"/>
          <w:sz w:val="20"/>
          <w:szCs w:val="20"/>
        </w:rPr>
        <w:t> : le salarié n’acquiert pas d’ancienneté pendant les périodes de suspension du contrat pour maladie non professionnelle.</w:t>
      </w:r>
    </w:p>
    <w:p w:rsidR="007536B6" w:rsidRPr="00A56C6F" w:rsidRDefault="007536B6" w:rsidP="007536B6">
      <w:pPr>
        <w:pStyle w:val="Default"/>
        <w:jc w:val="both"/>
        <w:rPr>
          <w:rFonts w:ascii="Arial" w:hAnsi="Arial" w:cs="Arial"/>
          <w:color w:val="000000" w:themeColor="text1"/>
          <w:sz w:val="20"/>
          <w:szCs w:val="20"/>
        </w:rPr>
      </w:pPr>
    </w:p>
    <w:p w:rsidR="007536B6" w:rsidRPr="00A56C6F" w:rsidRDefault="007536B6" w:rsidP="007536B6">
      <w:pPr>
        <w:pStyle w:val="Default"/>
        <w:jc w:val="both"/>
        <w:rPr>
          <w:rFonts w:ascii="Arial" w:hAnsi="Arial" w:cs="Arial"/>
          <w:color w:val="000000" w:themeColor="text1"/>
          <w:sz w:val="20"/>
          <w:szCs w:val="20"/>
        </w:rPr>
      </w:pPr>
      <w:r w:rsidRPr="00A56C6F">
        <w:rPr>
          <w:rFonts w:ascii="Arial" w:hAnsi="Arial" w:cs="Arial"/>
          <w:color w:val="000000" w:themeColor="text1"/>
          <w:sz w:val="20"/>
          <w:szCs w:val="20"/>
        </w:rPr>
        <w:t xml:space="preserve">En revanche, s’il </w:t>
      </w:r>
      <w:r>
        <w:rPr>
          <w:rFonts w:ascii="Arial" w:hAnsi="Arial" w:cs="Arial"/>
          <w:color w:val="000000" w:themeColor="text1"/>
          <w:sz w:val="20"/>
          <w:szCs w:val="20"/>
        </w:rPr>
        <w:t xml:space="preserve">ne </w:t>
      </w:r>
      <w:r w:rsidRPr="00A56C6F">
        <w:rPr>
          <w:rFonts w:ascii="Arial" w:hAnsi="Arial" w:cs="Arial"/>
          <w:color w:val="000000" w:themeColor="text1"/>
          <w:sz w:val="20"/>
          <w:szCs w:val="20"/>
        </w:rPr>
        <w:t xml:space="preserve">peut prétendre au paiement de cette indemnité, la durée du préavis non effectué et non payé est comptabilisée dans l’ancienneté du salarié pour le calcul du montant de l’indemnité. </w:t>
      </w:r>
    </w:p>
    <w:p w:rsidR="007536B6" w:rsidRPr="00A56C6F" w:rsidRDefault="007536B6" w:rsidP="007536B6">
      <w:pPr>
        <w:pStyle w:val="Default"/>
        <w:jc w:val="both"/>
        <w:rPr>
          <w:rFonts w:ascii="Arial" w:hAnsi="Arial" w:cs="Arial"/>
          <w:sz w:val="20"/>
          <w:szCs w:val="20"/>
        </w:rPr>
      </w:pPr>
    </w:p>
    <w:p w:rsidR="007536B6" w:rsidRPr="00A56C6F" w:rsidRDefault="007536B6" w:rsidP="007536B6">
      <w:pPr>
        <w:jc w:val="both"/>
        <w:rPr>
          <w:rFonts w:ascii="Arial" w:hAnsi="Arial" w:cs="Arial"/>
          <w:color w:val="000000"/>
          <w:sz w:val="20"/>
          <w:szCs w:val="20"/>
          <w:shd w:val="clear" w:color="auto" w:fill="FFFFFF"/>
        </w:rPr>
      </w:pPr>
      <w:r w:rsidRPr="00A56C6F">
        <w:rPr>
          <w:rFonts w:ascii="Arial" w:hAnsi="Arial" w:cs="Arial"/>
          <w:b/>
          <w:i/>
          <w:sz w:val="20"/>
          <w:szCs w:val="20"/>
          <w:u w:val="single"/>
        </w:rPr>
        <w:t>Si l’i</w:t>
      </w:r>
      <w:r>
        <w:rPr>
          <w:rFonts w:ascii="Arial" w:hAnsi="Arial" w:cs="Arial"/>
          <w:b/>
          <w:i/>
          <w:color w:val="000000" w:themeColor="text1"/>
          <w:sz w:val="20"/>
          <w:szCs w:val="20"/>
          <w:u w:val="single"/>
        </w:rPr>
        <w:t>naptitude est</w:t>
      </w:r>
      <w:r w:rsidRPr="00A56C6F">
        <w:rPr>
          <w:rFonts w:ascii="Arial" w:hAnsi="Arial" w:cs="Arial"/>
          <w:b/>
          <w:i/>
          <w:color w:val="000000" w:themeColor="text1"/>
          <w:sz w:val="20"/>
          <w:szCs w:val="20"/>
          <w:u w:val="single"/>
        </w:rPr>
        <w:t xml:space="preserve"> d’origine professionnelle</w:t>
      </w:r>
      <w:r w:rsidRPr="00A56C6F">
        <w:rPr>
          <w:rFonts w:ascii="Arial" w:hAnsi="Arial" w:cs="Arial"/>
          <w:b/>
          <w:sz w:val="20"/>
          <w:szCs w:val="20"/>
          <w:u w:val="single"/>
        </w:rPr>
        <w:t>,</w:t>
      </w:r>
      <w:r w:rsidRPr="00A56C6F">
        <w:rPr>
          <w:rFonts w:ascii="Arial" w:hAnsi="Arial" w:cs="Arial"/>
          <w:sz w:val="20"/>
          <w:szCs w:val="20"/>
        </w:rPr>
        <w:t xml:space="preserve"> </w:t>
      </w:r>
      <w:r w:rsidRPr="00A56C6F">
        <w:rPr>
          <w:rFonts w:ascii="Arial" w:hAnsi="Arial" w:cs="Arial"/>
          <w:color w:val="000000"/>
          <w:sz w:val="20"/>
          <w:szCs w:val="20"/>
          <w:shd w:val="clear" w:color="auto" w:fill="FFFFFF"/>
        </w:rPr>
        <w:t>le salarié peut bénéficier de l’indemnité de licenciement sans condition d’ancienneté et donc au prorata de son temps de présence. Le salarié aura acquis de l’ancienneté pendant toute la période de suspension pour maladie professionnelle ou accident du travail.</w:t>
      </w:r>
    </w:p>
    <w:p w:rsidR="007536B6" w:rsidRPr="00A56C6F" w:rsidRDefault="007536B6" w:rsidP="007536B6">
      <w:pPr>
        <w:jc w:val="both"/>
        <w:rPr>
          <w:rFonts w:ascii="Arial" w:hAnsi="Arial" w:cs="Arial"/>
          <w:sz w:val="20"/>
          <w:szCs w:val="20"/>
        </w:rPr>
      </w:pPr>
    </w:p>
    <w:p w:rsidR="007536B6" w:rsidRPr="00A56C6F" w:rsidRDefault="007536B6" w:rsidP="007536B6">
      <w:pPr>
        <w:jc w:val="both"/>
        <w:rPr>
          <w:rFonts w:ascii="Arial" w:hAnsi="Arial" w:cs="Arial"/>
          <w:sz w:val="20"/>
          <w:szCs w:val="20"/>
        </w:rPr>
      </w:pPr>
      <w:r w:rsidRPr="00A56C6F">
        <w:rPr>
          <w:rFonts w:ascii="Arial" w:hAnsi="Arial" w:cs="Arial"/>
          <w:sz w:val="20"/>
          <w:szCs w:val="20"/>
        </w:rPr>
        <w:t>De plus, depuis un arrêt de la Chambre sociale de la Cour de cassation du 10 juillet 2013</w:t>
      </w:r>
      <w:r w:rsidRPr="00A56C6F">
        <w:rPr>
          <w:rStyle w:val="Appelnotedebasdep"/>
          <w:rFonts w:ascii="Arial" w:hAnsi="Arial" w:cs="Arial"/>
          <w:sz w:val="20"/>
          <w:szCs w:val="20"/>
        </w:rPr>
        <w:footnoteReference w:id="8"/>
      </w:r>
      <w:r w:rsidRPr="00A56C6F">
        <w:rPr>
          <w:rFonts w:ascii="Arial" w:hAnsi="Arial" w:cs="Arial"/>
          <w:sz w:val="20"/>
          <w:szCs w:val="20"/>
        </w:rPr>
        <w:t xml:space="preserve">, l’indemnité </w:t>
      </w:r>
      <w:r w:rsidRPr="00A56C6F">
        <w:rPr>
          <w:rFonts w:ascii="Arial" w:hAnsi="Arial" w:cs="Arial"/>
          <w:i/>
          <w:sz w:val="20"/>
          <w:szCs w:val="20"/>
        </w:rPr>
        <w:t>spéciale de licenciement</w:t>
      </w:r>
      <w:r w:rsidRPr="00A56C6F">
        <w:rPr>
          <w:rFonts w:ascii="Arial" w:hAnsi="Arial" w:cs="Arial"/>
          <w:sz w:val="20"/>
          <w:szCs w:val="20"/>
        </w:rPr>
        <w:t xml:space="preserve"> prévue par l’article L.1226-14 du Code du travail en cas d’inaptitude d’origine professionnelle est due y compris pour un salarié du particulier employeur.</w:t>
      </w:r>
    </w:p>
    <w:p w:rsidR="007536B6" w:rsidRPr="00A56C6F" w:rsidRDefault="007536B6" w:rsidP="007536B6">
      <w:pPr>
        <w:jc w:val="both"/>
        <w:rPr>
          <w:rFonts w:ascii="Arial" w:hAnsi="Arial" w:cs="Arial"/>
          <w:color w:val="000000"/>
          <w:sz w:val="20"/>
          <w:szCs w:val="20"/>
          <w:shd w:val="clear" w:color="auto" w:fill="FFFFFF"/>
        </w:rPr>
      </w:pPr>
    </w:p>
    <w:p w:rsidR="007536B6" w:rsidRPr="00A56C6F" w:rsidRDefault="007536B6" w:rsidP="007536B6">
      <w:pPr>
        <w:jc w:val="both"/>
        <w:rPr>
          <w:rFonts w:ascii="Arial" w:hAnsi="Arial" w:cs="Arial"/>
          <w:sz w:val="20"/>
          <w:szCs w:val="20"/>
        </w:rPr>
      </w:pPr>
      <w:r w:rsidRPr="00A56C6F">
        <w:rPr>
          <w:rFonts w:ascii="Arial" w:hAnsi="Arial" w:cs="Arial"/>
          <w:color w:val="000000"/>
          <w:sz w:val="20"/>
          <w:szCs w:val="20"/>
          <w:shd w:val="clear" w:color="auto" w:fill="FFFFFF"/>
        </w:rPr>
        <w:t>Le montant de cette indemnité spéciale de licenciement est égal au double de l'indemnité légale de licenciement,</w:t>
      </w:r>
      <w:r w:rsidRPr="00A56C6F">
        <w:rPr>
          <w:rFonts w:ascii="Arial" w:hAnsi="Arial" w:cs="Arial"/>
          <w:sz w:val="20"/>
          <w:szCs w:val="20"/>
        </w:rPr>
        <w:t xml:space="preserve"> ainsi :</w:t>
      </w:r>
    </w:p>
    <w:p w:rsidR="007536B6" w:rsidRPr="00A56C6F" w:rsidRDefault="007536B6" w:rsidP="007536B6">
      <w:pPr>
        <w:pStyle w:val="Paragraphedeliste"/>
        <w:numPr>
          <w:ilvl w:val="0"/>
          <w:numId w:val="4"/>
        </w:numPr>
        <w:ind w:left="426"/>
        <w:contextualSpacing w:val="0"/>
        <w:jc w:val="both"/>
        <w:rPr>
          <w:rFonts w:ascii="Arial" w:hAnsi="Arial" w:cs="Arial"/>
          <w:sz w:val="20"/>
          <w:szCs w:val="20"/>
        </w:rPr>
      </w:pPr>
      <w:r w:rsidRPr="00A56C6F">
        <w:rPr>
          <w:rFonts w:ascii="Arial" w:hAnsi="Arial" w:cs="Arial"/>
          <w:sz w:val="20"/>
          <w:szCs w:val="20"/>
        </w:rPr>
        <w:t>Si le salarié a une ancienneté inférieure ou égale à 10 ans, il faudra verser 2/5</w:t>
      </w:r>
      <w:r w:rsidRPr="00A56C6F">
        <w:rPr>
          <w:rFonts w:ascii="Arial" w:hAnsi="Arial" w:cs="Arial"/>
          <w:sz w:val="20"/>
          <w:szCs w:val="20"/>
          <w:vertAlign w:val="superscript"/>
        </w:rPr>
        <w:t>ème</w:t>
      </w:r>
      <w:r w:rsidRPr="00A56C6F">
        <w:rPr>
          <w:rFonts w:ascii="Arial" w:hAnsi="Arial" w:cs="Arial"/>
          <w:sz w:val="20"/>
          <w:szCs w:val="20"/>
        </w:rPr>
        <w:t xml:space="preserve"> de salaire mensuel moyen par année d’ancienneté.</w:t>
      </w:r>
    </w:p>
    <w:p w:rsidR="007536B6" w:rsidRPr="00A56C6F" w:rsidRDefault="007536B6" w:rsidP="007536B6">
      <w:pPr>
        <w:pStyle w:val="Paragraphedeliste"/>
        <w:numPr>
          <w:ilvl w:val="0"/>
          <w:numId w:val="4"/>
        </w:numPr>
        <w:ind w:left="426"/>
        <w:contextualSpacing w:val="0"/>
        <w:jc w:val="both"/>
        <w:rPr>
          <w:rFonts w:ascii="Arial" w:hAnsi="Arial" w:cs="Arial"/>
          <w:sz w:val="20"/>
          <w:szCs w:val="20"/>
        </w:rPr>
      </w:pPr>
      <w:r w:rsidRPr="00A56C6F">
        <w:rPr>
          <w:rFonts w:ascii="Arial" w:hAnsi="Arial" w:cs="Arial"/>
          <w:sz w:val="20"/>
          <w:szCs w:val="20"/>
        </w:rPr>
        <w:t>Si le salarié a une ancienneté supérieure à 10 ans, il faudra verser, pour les années au-delà de 10 ans, 2/3 de salaire mensuel moyen par année d’ancienneté.</w:t>
      </w:r>
    </w:p>
    <w:p w:rsidR="007536B6" w:rsidRPr="00A53FFC" w:rsidRDefault="007536B6" w:rsidP="007536B6">
      <w:pPr>
        <w:pStyle w:val="Default"/>
        <w:jc w:val="both"/>
        <w:rPr>
          <w:color w:val="auto"/>
          <w:sz w:val="20"/>
          <w:szCs w:val="20"/>
        </w:rPr>
      </w:pPr>
    </w:p>
    <w:p w:rsidR="007536B6" w:rsidRPr="00A56C6F" w:rsidRDefault="007536B6" w:rsidP="007536B6">
      <w:pPr>
        <w:jc w:val="both"/>
        <w:rPr>
          <w:rFonts w:ascii="Arial" w:hAnsi="Arial" w:cs="Arial"/>
          <w:color w:val="000000"/>
          <w:sz w:val="20"/>
          <w:szCs w:val="20"/>
          <w:shd w:val="clear" w:color="auto" w:fill="FFFFFF"/>
        </w:rPr>
      </w:pPr>
      <w:r w:rsidRPr="00A56C6F">
        <w:rPr>
          <w:rFonts w:ascii="Arial" w:hAnsi="Arial" w:cs="Arial"/>
          <w:sz w:val="20"/>
          <w:szCs w:val="20"/>
        </w:rPr>
        <w:t xml:space="preserve">En revanche </w:t>
      </w:r>
      <w:r w:rsidRPr="00A56C6F">
        <w:rPr>
          <w:rFonts w:ascii="Arial" w:hAnsi="Arial" w:cs="Arial"/>
          <w:color w:val="000000"/>
          <w:sz w:val="20"/>
          <w:szCs w:val="20"/>
          <w:shd w:val="clear" w:color="auto" w:fill="FFFFFF"/>
        </w:rPr>
        <w:t xml:space="preserve">la durée correspondant au préavis non effectué, n’est pas prise en compte dans l’ancienneté pour le calcul de l’indemnité de licenciement.  </w:t>
      </w:r>
    </w:p>
    <w:p w:rsidR="007536B6" w:rsidRPr="00A56C6F" w:rsidRDefault="007536B6" w:rsidP="007536B6">
      <w:pPr>
        <w:jc w:val="both"/>
        <w:rPr>
          <w:rFonts w:ascii="Arial" w:hAnsi="Arial" w:cs="Arial"/>
          <w:color w:val="000000"/>
          <w:sz w:val="20"/>
          <w:szCs w:val="20"/>
          <w:shd w:val="clear" w:color="auto" w:fill="FFFFFF"/>
        </w:rPr>
      </w:pPr>
    </w:p>
    <w:p w:rsidR="007536B6" w:rsidRPr="00A56C6F" w:rsidRDefault="007536B6" w:rsidP="007536B6">
      <w:pPr>
        <w:pStyle w:val="Default"/>
        <w:ind w:left="360"/>
        <w:jc w:val="both"/>
        <w:rPr>
          <w:rFonts w:ascii="Arial" w:hAnsi="Arial" w:cs="Arial"/>
          <w:sz w:val="20"/>
          <w:szCs w:val="20"/>
        </w:rPr>
      </w:pPr>
    </w:p>
    <w:p w:rsidR="007536B6" w:rsidRPr="00A56C6F" w:rsidRDefault="007536B6" w:rsidP="007536B6">
      <w:pPr>
        <w:pStyle w:val="Default"/>
        <w:numPr>
          <w:ilvl w:val="0"/>
          <w:numId w:val="1"/>
        </w:numPr>
        <w:jc w:val="both"/>
        <w:rPr>
          <w:rFonts w:ascii="Arial" w:hAnsi="Arial" w:cs="Arial"/>
          <w:b/>
          <w:color w:val="A62326" w:themeColor="accent6" w:themeShade="BF"/>
          <w:sz w:val="20"/>
          <w:szCs w:val="20"/>
          <w:u w:val="single"/>
        </w:rPr>
      </w:pPr>
      <w:r w:rsidRPr="00A56C6F">
        <w:rPr>
          <w:rFonts w:ascii="Arial" w:hAnsi="Arial" w:cs="Arial"/>
          <w:b/>
          <w:color w:val="A62326" w:themeColor="accent6" w:themeShade="BF"/>
          <w:sz w:val="20"/>
          <w:szCs w:val="20"/>
          <w:u w:val="single"/>
        </w:rPr>
        <w:t>Les documents de fin de contrat à remettre</w:t>
      </w:r>
    </w:p>
    <w:p w:rsidR="007536B6" w:rsidRPr="00A56C6F" w:rsidRDefault="007536B6" w:rsidP="007536B6">
      <w:pPr>
        <w:pStyle w:val="Default"/>
        <w:jc w:val="both"/>
        <w:rPr>
          <w:rFonts w:ascii="Arial" w:hAnsi="Arial" w:cs="Arial"/>
          <w:sz w:val="20"/>
          <w:szCs w:val="20"/>
        </w:rPr>
      </w:pPr>
    </w:p>
    <w:p w:rsidR="007536B6" w:rsidRPr="00A56C6F" w:rsidRDefault="007536B6" w:rsidP="007536B6">
      <w:pPr>
        <w:pStyle w:val="Paragraphedeliste"/>
        <w:ind w:left="0"/>
        <w:jc w:val="both"/>
        <w:rPr>
          <w:rFonts w:ascii="Arial" w:hAnsi="Arial" w:cs="Arial"/>
          <w:color w:val="000000"/>
          <w:sz w:val="20"/>
          <w:szCs w:val="20"/>
        </w:rPr>
      </w:pPr>
      <w:r w:rsidRPr="00A56C6F">
        <w:rPr>
          <w:rFonts w:ascii="Arial" w:hAnsi="Arial" w:cs="Arial"/>
          <w:color w:val="000000"/>
          <w:sz w:val="20"/>
          <w:szCs w:val="20"/>
        </w:rPr>
        <w:t>A l’issue du contrat de travail, l’employeur à l’obligation de remettre au salarié, les documents de fin de contrat suivant :</w:t>
      </w:r>
    </w:p>
    <w:p w:rsidR="007536B6" w:rsidRDefault="007536B6" w:rsidP="007536B6">
      <w:pPr>
        <w:pStyle w:val="Paragraphedeliste"/>
        <w:numPr>
          <w:ilvl w:val="0"/>
          <w:numId w:val="6"/>
        </w:numPr>
        <w:jc w:val="both"/>
        <w:rPr>
          <w:rFonts w:ascii="Arial" w:hAnsi="Arial" w:cs="Arial"/>
          <w:color w:val="000000"/>
          <w:sz w:val="20"/>
          <w:szCs w:val="20"/>
        </w:rPr>
      </w:pPr>
      <w:proofErr w:type="gramStart"/>
      <w:r w:rsidRPr="00F65707">
        <w:rPr>
          <w:rFonts w:ascii="Arial" w:hAnsi="Arial" w:cs="Arial"/>
          <w:color w:val="000000"/>
          <w:sz w:val="20"/>
          <w:szCs w:val="20"/>
        </w:rPr>
        <w:t>un</w:t>
      </w:r>
      <w:proofErr w:type="gramEnd"/>
      <w:r w:rsidRPr="00F65707">
        <w:rPr>
          <w:rFonts w:ascii="Arial" w:hAnsi="Arial" w:cs="Arial"/>
          <w:color w:val="000000"/>
          <w:sz w:val="20"/>
          <w:szCs w:val="20"/>
        </w:rPr>
        <w:t xml:space="preserve"> certificat de travail ;</w:t>
      </w:r>
    </w:p>
    <w:p w:rsidR="007536B6" w:rsidRDefault="007536B6" w:rsidP="007536B6">
      <w:pPr>
        <w:pStyle w:val="Paragraphedeliste"/>
        <w:numPr>
          <w:ilvl w:val="0"/>
          <w:numId w:val="6"/>
        </w:numPr>
        <w:jc w:val="both"/>
        <w:rPr>
          <w:rFonts w:ascii="Arial" w:hAnsi="Arial" w:cs="Arial"/>
          <w:color w:val="000000"/>
          <w:sz w:val="20"/>
          <w:szCs w:val="20"/>
        </w:rPr>
      </w:pPr>
      <w:proofErr w:type="gramStart"/>
      <w:r w:rsidRPr="00F65707">
        <w:rPr>
          <w:rFonts w:ascii="Arial" w:hAnsi="Arial" w:cs="Arial"/>
          <w:color w:val="000000"/>
          <w:sz w:val="20"/>
          <w:szCs w:val="20"/>
        </w:rPr>
        <w:lastRenderedPageBreak/>
        <w:t>une</w:t>
      </w:r>
      <w:proofErr w:type="gramEnd"/>
      <w:r w:rsidRPr="00F65707">
        <w:rPr>
          <w:rFonts w:ascii="Arial" w:hAnsi="Arial" w:cs="Arial"/>
          <w:color w:val="000000"/>
          <w:sz w:val="20"/>
          <w:szCs w:val="20"/>
        </w:rPr>
        <w:t xml:space="preserve"> attestation pôle emploi spécifique aux particuliers employeurs ;</w:t>
      </w:r>
    </w:p>
    <w:p w:rsidR="007536B6" w:rsidRPr="00F65707" w:rsidRDefault="007536B6" w:rsidP="007536B6">
      <w:pPr>
        <w:pStyle w:val="Paragraphedeliste"/>
        <w:numPr>
          <w:ilvl w:val="0"/>
          <w:numId w:val="6"/>
        </w:numPr>
        <w:jc w:val="both"/>
        <w:rPr>
          <w:rFonts w:ascii="Arial" w:hAnsi="Arial" w:cs="Arial"/>
          <w:color w:val="000000"/>
          <w:sz w:val="20"/>
          <w:szCs w:val="20"/>
        </w:rPr>
      </w:pPr>
      <w:r w:rsidRPr="00F65707">
        <w:rPr>
          <w:rFonts w:ascii="Arial" w:hAnsi="Arial" w:cs="Arial"/>
          <w:color w:val="000000"/>
          <w:sz w:val="20"/>
          <w:szCs w:val="20"/>
        </w:rPr>
        <w:t>Il est recommandé également d’établir un reçu pour solde de tout compte.</w:t>
      </w:r>
    </w:p>
    <w:p w:rsidR="007536B6" w:rsidRPr="0032667A" w:rsidRDefault="007536B6" w:rsidP="007536B6">
      <w:pPr>
        <w:jc w:val="center"/>
        <w:rPr>
          <w:rFonts w:ascii="Arial" w:hAnsi="Arial" w:cs="Arial"/>
          <w:color w:val="D5393D" w:themeColor="accent6"/>
          <w:sz w:val="50"/>
          <w:szCs w:val="50"/>
        </w:rPr>
      </w:pPr>
    </w:p>
    <w:p w:rsidR="00BF27B9" w:rsidRDefault="00BF27B9"/>
    <w:sectPr w:rsidR="00BF27B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3DC5" w:rsidRDefault="007A3DC5" w:rsidP="007536B6">
      <w:r>
        <w:separator/>
      </w:r>
    </w:p>
  </w:endnote>
  <w:endnote w:type="continuationSeparator" w:id="0">
    <w:p w:rsidR="007A3DC5" w:rsidRDefault="007A3DC5" w:rsidP="007536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Baskerville Semibold">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3DC5" w:rsidRDefault="007A3DC5" w:rsidP="007536B6">
      <w:r>
        <w:separator/>
      </w:r>
    </w:p>
  </w:footnote>
  <w:footnote w:type="continuationSeparator" w:id="0">
    <w:p w:rsidR="007A3DC5" w:rsidRDefault="007A3DC5" w:rsidP="007536B6">
      <w:r>
        <w:continuationSeparator/>
      </w:r>
    </w:p>
  </w:footnote>
  <w:footnote w:id="1">
    <w:p w:rsidR="007536B6" w:rsidRPr="00C50BBB" w:rsidRDefault="007536B6" w:rsidP="007536B6">
      <w:pPr>
        <w:pStyle w:val="Notedebasdepage"/>
        <w:rPr>
          <w:i/>
          <w:sz w:val="16"/>
          <w:szCs w:val="16"/>
        </w:rPr>
      </w:pPr>
      <w:r w:rsidRPr="00C50BBB">
        <w:rPr>
          <w:rStyle w:val="Appelnotedebasdep"/>
          <w:sz w:val="16"/>
          <w:szCs w:val="16"/>
        </w:rPr>
        <w:footnoteRef/>
      </w:r>
      <w:r w:rsidRPr="00C50BBB">
        <w:rPr>
          <w:i/>
          <w:sz w:val="16"/>
          <w:szCs w:val="16"/>
        </w:rPr>
        <w:t xml:space="preserve"> </w:t>
      </w:r>
      <w:r>
        <w:rPr>
          <w:i/>
          <w:sz w:val="16"/>
          <w:szCs w:val="16"/>
        </w:rPr>
        <w:t>Cour de cassation, chambre sociale</w:t>
      </w:r>
      <w:r w:rsidRPr="00C50BBB">
        <w:rPr>
          <w:i/>
          <w:sz w:val="16"/>
          <w:szCs w:val="16"/>
        </w:rPr>
        <w:t xml:space="preserve">, 28 septembre 2011, </w:t>
      </w:r>
      <w:r>
        <w:rPr>
          <w:i/>
          <w:sz w:val="16"/>
          <w:szCs w:val="16"/>
        </w:rPr>
        <w:t xml:space="preserve">pourvoi </w:t>
      </w:r>
      <w:r w:rsidRPr="00C50BBB">
        <w:rPr>
          <w:i/>
          <w:sz w:val="16"/>
          <w:szCs w:val="16"/>
        </w:rPr>
        <w:t>n°10-14.284.</w:t>
      </w:r>
    </w:p>
  </w:footnote>
  <w:footnote w:id="2">
    <w:p w:rsidR="007536B6" w:rsidRPr="00C50BBB" w:rsidRDefault="007536B6" w:rsidP="007536B6">
      <w:pPr>
        <w:pStyle w:val="Notedebasdepage"/>
        <w:rPr>
          <w:i/>
          <w:sz w:val="16"/>
          <w:szCs w:val="16"/>
        </w:rPr>
      </w:pPr>
      <w:r w:rsidRPr="00C50BBB">
        <w:rPr>
          <w:rStyle w:val="Appelnotedebasdep"/>
          <w:sz w:val="16"/>
          <w:szCs w:val="16"/>
        </w:rPr>
        <w:footnoteRef/>
      </w:r>
      <w:r w:rsidRPr="00C50BBB">
        <w:rPr>
          <w:i/>
          <w:sz w:val="16"/>
          <w:szCs w:val="16"/>
        </w:rPr>
        <w:t xml:space="preserve"> Sauf salarié</w:t>
      </w:r>
      <w:r>
        <w:rPr>
          <w:i/>
          <w:sz w:val="16"/>
          <w:szCs w:val="16"/>
        </w:rPr>
        <w:t>s</w:t>
      </w:r>
      <w:r w:rsidRPr="00C50BBB">
        <w:rPr>
          <w:i/>
          <w:sz w:val="16"/>
          <w:szCs w:val="16"/>
        </w:rPr>
        <w:t xml:space="preserve"> bénéficiant d’un suivi renforcé.</w:t>
      </w:r>
    </w:p>
  </w:footnote>
  <w:footnote w:id="3">
    <w:p w:rsidR="007536B6" w:rsidRPr="00C50BBB" w:rsidRDefault="007536B6" w:rsidP="007536B6">
      <w:pPr>
        <w:pStyle w:val="Notedebasdepage"/>
        <w:rPr>
          <w:i/>
          <w:sz w:val="16"/>
          <w:szCs w:val="16"/>
        </w:rPr>
      </w:pPr>
      <w:r w:rsidRPr="00C50BBB">
        <w:rPr>
          <w:rStyle w:val="Appelnotedebasdep"/>
          <w:sz w:val="16"/>
          <w:szCs w:val="16"/>
        </w:rPr>
        <w:footnoteRef/>
      </w:r>
      <w:r w:rsidRPr="00C50BBB">
        <w:rPr>
          <w:i/>
          <w:sz w:val="16"/>
          <w:szCs w:val="16"/>
        </w:rPr>
        <w:t>Loi n° 2016-1088 du 8 août 2016 relative au travail, à la modernisation du dialogue social et à la sécurisation des parcours professionnels, complétée par son décret d’application n°2016-1908 du 27 décembre 2016</w:t>
      </w:r>
      <w:r>
        <w:rPr>
          <w:i/>
          <w:sz w:val="16"/>
          <w:szCs w:val="16"/>
        </w:rPr>
        <w:t>.</w:t>
      </w:r>
    </w:p>
  </w:footnote>
  <w:footnote w:id="4">
    <w:p w:rsidR="007536B6" w:rsidRPr="00AA3FA8" w:rsidRDefault="007536B6" w:rsidP="007536B6">
      <w:pPr>
        <w:jc w:val="both"/>
        <w:rPr>
          <w:rFonts w:cs="Arial"/>
          <w:i/>
          <w:sz w:val="16"/>
          <w:szCs w:val="16"/>
        </w:rPr>
      </w:pPr>
      <w:r w:rsidRPr="00C50BBB">
        <w:rPr>
          <w:rStyle w:val="Appelnotedebasdep"/>
          <w:sz w:val="16"/>
          <w:szCs w:val="16"/>
        </w:rPr>
        <w:footnoteRef/>
      </w:r>
      <w:r w:rsidRPr="00C50BBB">
        <w:rPr>
          <w:i/>
          <w:sz w:val="16"/>
          <w:szCs w:val="16"/>
        </w:rPr>
        <w:t xml:space="preserve"> </w:t>
      </w:r>
      <w:r w:rsidRPr="00C50BBB">
        <w:rPr>
          <w:rFonts w:cs="Arial"/>
          <w:i/>
          <w:sz w:val="16"/>
          <w:szCs w:val="16"/>
        </w:rPr>
        <w:t>Si le délai expire un samedi</w:t>
      </w:r>
      <w:r>
        <w:rPr>
          <w:rFonts w:cs="Arial"/>
          <w:i/>
          <w:sz w:val="16"/>
          <w:szCs w:val="16"/>
        </w:rPr>
        <w:t>, un</w:t>
      </w:r>
      <w:r w:rsidRPr="00C50BBB">
        <w:rPr>
          <w:rFonts w:cs="Arial"/>
          <w:i/>
          <w:sz w:val="16"/>
          <w:szCs w:val="16"/>
        </w:rPr>
        <w:t xml:space="preserve"> dimanche </w:t>
      </w:r>
      <w:r>
        <w:rPr>
          <w:rFonts w:cs="Arial"/>
          <w:i/>
          <w:sz w:val="16"/>
          <w:szCs w:val="16"/>
        </w:rPr>
        <w:t>ou un</w:t>
      </w:r>
      <w:r w:rsidRPr="00C50BBB">
        <w:rPr>
          <w:rFonts w:cs="Arial"/>
          <w:i/>
          <w:sz w:val="16"/>
          <w:szCs w:val="16"/>
        </w:rPr>
        <w:t xml:space="preserve"> jour férié, il est pr</w:t>
      </w:r>
      <w:r>
        <w:rPr>
          <w:rFonts w:cs="Arial"/>
          <w:i/>
          <w:sz w:val="16"/>
          <w:szCs w:val="16"/>
        </w:rPr>
        <w:t>orogé au jour ouvrable suivant.</w:t>
      </w:r>
    </w:p>
  </w:footnote>
  <w:footnote w:id="5">
    <w:p w:rsidR="007536B6" w:rsidRPr="00AA3FA8" w:rsidRDefault="007536B6" w:rsidP="007536B6">
      <w:pPr>
        <w:pStyle w:val="Notedebasdepage"/>
        <w:rPr>
          <w:sz w:val="16"/>
          <w:szCs w:val="16"/>
        </w:rPr>
      </w:pPr>
      <w:r w:rsidRPr="00AA3FA8">
        <w:rPr>
          <w:rStyle w:val="Appelnotedebasdep"/>
          <w:sz w:val="16"/>
          <w:szCs w:val="16"/>
        </w:rPr>
        <w:footnoteRef/>
      </w:r>
      <w:r w:rsidRPr="00AA3FA8">
        <w:rPr>
          <w:sz w:val="16"/>
          <w:szCs w:val="16"/>
        </w:rPr>
        <w:t xml:space="preserve"> </w:t>
      </w:r>
      <w:r w:rsidRPr="00AA3FA8">
        <w:rPr>
          <w:rFonts w:cs="Arial"/>
          <w:i/>
          <w:sz w:val="16"/>
          <w:szCs w:val="16"/>
        </w:rPr>
        <w:t>Si le délai expire un samedi</w:t>
      </w:r>
      <w:r>
        <w:rPr>
          <w:rFonts w:cs="Arial"/>
          <w:i/>
          <w:sz w:val="16"/>
          <w:szCs w:val="16"/>
        </w:rPr>
        <w:t>, un</w:t>
      </w:r>
      <w:r w:rsidRPr="00AA3FA8">
        <w:rPr>
          <w:rFonts w:cs="Arial"/>
          <w:i/>
          <w:sz w:val="16"/>
          <w:szCs w:val="16"/>
        </w:rPr>
        <w:t xml:space="preserve"> dimanche </w:t>
      </w:r>
      <w:r>
        <w:rPr>
          <w:rFonts w:cs="Arial"/>
          <w:i/>
          <w:sz w:val="16"/>
          <w:szCs w:val="16"/>
        </w:rPr>
        <w:t>ou</w:t>
      </w:r>
      <w:r w:rsidRPr="00AA3FA8">
        <w:rPr>
          <w:rFonts w:cs="Arial"/>
          <w:i/>
          <w:sz w:val="16"/>
          <w:szCs w:val="16"/>
        </w:rPr>
        <w:t xml:space="preserve"> jour férié, il est prorogé au jour ouvrable suivant.</w:t>
      </w:r>
    </w:p>
  </w:footnote>
  <w:footnote w:id="6">
    <w:p w:rsidR="007536B6" w:rsidRDefault="007536B6" w:rsidP="007536B6">
      <w:pPr>
        <w:pStyle w:val="Notedebasdepage"/>
      </w:pPr>
      <w:r>
        <w:rPr>
          <w:rStyle w:val="Appelnotedebasdep"/>
        </w:rPr>
        <w:footnoteRef/>
      </w:r>
      <w:r>
        <w:t xml:space="preserve"> </w:t>
      </w:r>
      <w:r>
        <w:rPr>
          <w:i/>
          <w:sz w:val="16"/>
          <w:szCs w:val="16"/>
        </w:rPr>
        <w:t>Cour de cassation, chambre sociale,</w:t>
      </w:r>
      <w:r w:rsidRPr="0087098E">
        <w:rPr>
          <w:i/>
          <w:sz w:val="16"/>
          <w:szCs w:val="16"/>
        </w:rPr>
        <w:t xml:space="preserve"> 10 juillet 2013</w:t>
      </w:r>
      <w:r>
        <w:rPr>
          <w:i/>
          <w:sz w:val="16"/>
          <w:szCs w:val="16"/>
        </w:rPr>
        <w:t>,</w:t>
      </w:r>
      <w:r w:rsidRPr="0087098E">
        <w:rPr>
          <w:i/>
          <w:sz w:val="16"/>
          <w:szCs w:val="16"/>
        </w:rPr>
        <w:t xml:space="preserve"> </w:t>
      </w:r>
      <w:r>
        <w:rPr>
          <w:i/>
          <w:sz w:val="16"/>
          <w:szCs w:val="16"/>
        </w:rPr>
        <w:t xml:space="preserve">pourvoi </w:t>
      </w:r>
      <w:r w:rsidRPr="0087098E">
        <w:rPr>
          <w:i/>
          <w:sz w:val="16"/>
          <w:szCs w:val="16"/>
        </w:rPr>
        <w:t>n°12-21.380</w:t>
      </w:r>
      <w:r>
        <w:rPr>
          <w:i/>
          <w:sz w:val="16"/>
          <w:szCs w:val="16"/>
        </w:rPr>
        <w:t>.</w:t>
      </w:r>
    </w:p>
  </w:footnote>
  <w:footnote w:id="7">
    <w:p w:rsidR="007536B6" w:rsidRPr="00AA3FA8" w:rsidRDefault="007536B6" w:rsidP="007536B6">
      <w:pPr>
        <w:pStyle w:val="Notedebasdepage"/>
        <w:rPr>
          <w:i/>
          <w:sz w:val="16"/>
          <w:szCs w:val="16"/>
        </w:rPr>
      </w:pPr>
      <w:r w:rsidRPr="00AA3FA8">
        <w:rPr>
          <w:rStyle w:val="Appelnotedebasdep"/>
          <w:sz w:val="16"/>
          <w:szCs w:val="16"/>
        </w:rPr>
        <w:footnoteRef/>
      </w:r>
      <w:r w:rsidRPr="00AA3FA8">
        <w:rPr>
          <w:i/>
          <w:sz w:val="16"/>
          <w:szCs w:val="16"/>
        </w:rPr>
        <w:t xml:space="preserve"> Jour de l’envoi de la lettre de licenciement</w:t>
      </w:r>
    </w:p>
  </w:footnote>
  <w:footnote w:id="8">
    <w:p w:rsidR="007536B6" w:rsidRPr="00F65707" w:rsidRDefault="007536B6" w:rsidP="007536B6">
      <w:pPr>
        <w:pStyle w:val="Notedebasdepage"/>
        <w:rPr>
          <w:i/>
          <w:sz w:val="16"/>
          <w:szCs w:val="16"/>
        </w:rPr>
      </w:pPr>
      <w:r>
        <w:rPr>
          <w:rStyle w:val="Appelnotedebasdep"/>
        </w:rPr>
        <w:footnoteRef/>
      </w:r>
      <w:r>
        <w:t xml:space="preserve"> </w:t>
      </w:r>
      <w:r>
        <w:rPr>
          <w:i/>
          <w:sz w:val="16"/>
          <w:szCs w:val="16"/>
        </w:rPr>
        <w:t>Cour de cassation, chambre sociale,</w:t>
      </w:r>
      <w:r w:rsidRPr="0087098E">
        <w:rPr>
          <w:i/>
          <w:sz w:val="16"/>
          <w:szCs w:val="16"/>
        </w:rPr>
        <w:t xml:space="preserve"> 10 juillet 2013</w:t>
      </w:r>
      <w:r>
        <w:rPr>
          <w:i/>
          <w:sz w:val="16"/>
          <w:szCs w:val="16"/>
        </w:rPr>
        <w:t>,</w:t>
      </w:r>
      <w:r w:rsidRPr="0087098E">
        <w:rPr>
          <w:i/>
          <w:sz w:val="16"/>
          <w:szCs w:val="16"/>
        </w:rPr>
        <w:t xml:space="preserve"> </w:t>
      </w:r>
      <w:r>
        <w:rPr>
          <w:i/>
          <w:sz w:val="16"/>
          <w:szCs w:val="16"/>
        </w:rPr>
        <w:t xml:space="preserve">pourvoi </w:t>
      </w:r>
      <w:r w:rsidRPr="0087098E">
        <w:rPr>
          <w:i/>
          <w:sz w:val="16"/>
          <w:szCs w:val="16"/>
        </w:rPr>
        <w:t>n°12-21.380</w:t>
      </w:r>
      <w:r>
        <w:rPr>
          <w:i/>
          <w:sz w:val="16"/>
          <w:szCs w:val="16"/>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235D2"/>
    <w:multiLevelType w:val="hybridMultilevel"/>
    <w:tmpl w:val="8214B65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D4D4BFA"/>
    <w:multiLevelType w:val="hybridMultilevel"/>
    <w:tmpl w:val="500C56D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7EC048E"/>
    <w:multiLevelType w:val="hybridMultilevel"/>
    <w:tmpl w:val="FD7C29B2"/>
    <w:lvl w:ilvl="0" w:tplc="3A02B694">
      <w:numFmt w:val="bullet"/>
      <w:lvlText w:val="-"/>
      <w:lvlJc w:val="left"/>
      <w:pPr>
        <w:ind w:left="720" w:hanging="360"/>
      </w:pPr>
      <w:rPr>
        <w:rFonts w:ascii="Arial" w:eastAsia="Calibr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EF6165D"/>
    <w:multiLevelType w:val="hybridMultilevel"/>
    <w:tmpl w:val="327870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0924A07"/>
    <w:multiLevelType w:val="hybridMultilevel"/>
    <w:tmpl w:val="7A3A75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36E3044"/>
    <w:multiLevelType w:val="hybridMultilevel"/>
    <w:tmpl w:val="C16E3E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6935C49"/>
    <w:multiLevelType w:val="hybridMultilevel"/>
    <w:tmpl w:val="98546484"/>
    <w:lvl w:ilvl="0" w:tplc="04B6FB9E">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num w:numId="1">
    <w:abstractNumId w:val="0"/>
  </w:num>
  <w:num w:numId="2">
    <w:abstractNumId w:val="6"/>
  </w:num>
  <w:num w:numId="3">
    <w:abstractNumId w:val="1"/>
  </w:num>
  <w:num w:numId="4">
    <w:abstractNumId w:val="2"/>
  </w:num>
  <w:num w:numId="5">
    <w:abstractNumId w:val="5"/>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36B6"/>
    <w:rsid w:val="001A0BA3"/>
    <w:rsid w:val="002371F0"/>
    <w:rsid w:val="00256771"/>
    <w:rsid w:val="00493B86"/>
    <w:rsid w:val="007536B6"/>
    <w:rsid w:val="00772949"/>
    <w:rsid w:val="007A3DC5"/>
    <w:rsid w:val="009E177D"/>
    <w:rsid w:val="009E4391"/>
    <w:rsid w:val="00B31A6E"/>
    <w:rsid w:val="00B67EA1"/>
    <w:rsid w:val="00BF27B9"/>
    <w:rsid w:val="00E841F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78BAD"/>
  <w15:chartTrackingRefBased/>
  <w15:docId w15:val="{4B5B092C-D5B8-48EC-B3E9-A99C86353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36B6"/>
    <w:pPr>
      <w:spacing w:after="0" w:line="240" w:lineRule="auto"/>
    </w:pPr>
    <w:rPr>
      <w:rFonts w:ascii="Helvetica" w:eastAsia="Times New Roman" w:hAnsi="Helvetica" w:cs="Times New Roman"/>
      <w:sz w:val="24"/>
      <w:szCs w:val="24"/>
      <w:lang w:eastAsia="fr-FR"/>
    </w:rPr>
  </w:style>
  <w:style w:type="paragraph" w:styleId="Titre1">
    <w:name w:val="heading 1"/>
    <w:basedOn w:val="Normal"/>
    <w:next w:val="Normal"/>
    <w:link w:val="Titre1Car"/>
    <w:uiPriority w:val="9"/>
    <w:qFormat/>
    <w:rsid w:val="00BF27B9"/>
    <w:pPr>
      <w:keepNext/>
      <w:keepLines/>
      <w:spacing w:before="360" w:after="120"/>
      <w:outlineLvl w:val="0"/>
    </w:pPr>
    <w:rPr>
      <w:rFonts w:asciiTheme="majorHAnsi" w:eastAsiaTheme="majorEastAsia" w:hAnsiTheme="majorHAnsi" w:cstheme="majorBidi"/>
      <w:color w:val="2790A5" w:themeColor="accent1" w:themeShade="BF"/>
      <w:sz w:val="32"/>
      <w:szCs w:val="32"/>
    </w:rPr>
  </w:style>
  <w:style w:type="paragraph" w:styleId="Titre2">
    <w:name w:val="heading 2"/>
    <w:basedOn w:val="Normal"/>
    <w:next w:val="Normal"/>
    <w:link w:val="Titre2Car"/>
    <w:autoRedefine/>
    <w:uiPriority w:val="9"/>
    <w:unhideWhenUsed/>
    <w:qFormat/>
    <w:rsid w:val="009E4391"/>
    <w:pPr>
      <w:keepNext/>
      <w:keepLines/>
      <w:spacing w:before="240" w:after="120"/>
      <w:outlineLvl w:val="1"/>
    </w:pPr>
    <w:rPr>
      <w:rFonts w:asciiTheme="majorHAnsi" w:eastAsiaTheme="majorEastAsia" w:hAnsiTheme="majorHAnsi" w:cstheme="majorBidi"/>
      <w:color w:val="6B8B1A" w:themeColor="accent3" w:themeShade="BF"/>
      <w:sz w:val="28"/>
      <w:szCs w:val="26"/>
    </w:rPr>
  </w:style>
  <w:style w:type="paragraph" w:styleId="Titre3">
    <w:name w:val="heading 3"/>
    <w:basedOn w:val="Normal"/>
    <w:next w:val="Normal"/>
    <w:link w:val="Titre3Car"/>
    <w:autoRedefine/>
    <w:uiPriority w:val="9"/>
    <w:unhideWhenUsed/>
    <w:qFormat/>
    <w:rsid w:val="00BF27B9"/>
    <w:pPr>
      <w:keepNext/>
      <w:keepLines/>
      <w:spacing w:before="280" w:after="240"/>
      <w:outlineLvl w:val="2"/>
    </w:pPr>
    <w:rPr>
      <w:rFonts w:asciiTheme="majorHAnsi" w:eastAsiaTheme="majorEastAsia" w:hAnsiTheme="majorHAnsi" w:cstheme="majorBidi"/>
      <w:color w:val="1A606E" w:themeColor="accent1" w:themeShade="7F"/>
      <w:lang w:val="en-US"/>
    </w:rPr>
  </w:style>
  <w:style w:type="paragraph" w:styleId="Titre4">
    <w:name w:val="heading 4"/>
    <w:basedOn w:val="Normal"/>
    <w:next w:val="Normal"/>
    <w:link w:val="Titre4Car"/>
    <w:uiPriority w:val="9"/>
    <w:unhideWhenUsed/>
    <w:qFormat/>
    <w:rsid w:val="00BF27B9"/>
    <w:pPr>
      <w:keepNext/>
      <w:keepLines/>
      <w:spacing w:before="40"/>
      <w:outlineLvl w:val="3"/>
    </w:pPr>
    <w:rPr>
      <w:rFonts w:asciiTheme="majorHAnsi" w:eastAsiaTheme="majorEastAsia" w:hAnsiTheme="majorHAnsi" w:cstheme="majorBidi"/>
      <w:i/>
      <w:iCs/>
      <w:color w:val="2790A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9E4391"/>
    <w:rPr>
      <w:rFonts w:asciiTheme="majorHAnsi" w:eastAsiaTheme="majorEastAsia" w:hAnsiTheme="majorHAnsi" w:cstheme="majorBidi"/>
      <w:color w:val="6B8B1A" w:themeColor="accent3" w:themeShade="BF"/>
      <w:sz w:val="28"/>
      <w:szCs w:val="26"/>
    </w:rPr>
  </w:style>
  <w:style w:type="paragraph" w:customStyle="1" w:styleId="Exemplecode">
    <w:name w:val="Exemple code"/>
    <w:basedOn w:val="Normal"/>
    <w:next w:val="Normal"/>
    <w:link w:val="ExemplecodeCar"/>
    <w:autoRedefine/>
    <w:qFormat/>
    <w:rsid w:val="009E177D"/>
    <w:pPr>
      <w:shd w:val="clear" w:color="auto" w:fill="404040" w:themeFill="text1" w:themeFillTint="BF"/>
      <w:spacing w:before="120" w:after="120"/>
    </w:pPr>
    <w:rPr>
      <w:rFonts w:ascii="Courier New" w:eastAsiaTheme="majorEastAsia" w:hAnsi="Courier New"/>
      <w:color w:val="FFFFFF" w:themeColor="background1"/>
      <w:sz w:val="20"/>
    </w:rPr>
  </w:style>
  <w:style w:type="character" w:customStyle="1" w:styleId="ExemplecodeCar">
    <w:name w:val="Exemple code Car"/>
    <w:basedOn w:val="Policepardfaut"/>
    <w:link w:val="Exemplecode"/>
    <w:rsid w:val="009E177D"/>
    <w:rPr>
      <w:rFonts w:ascii="Courier New" w:eastAsiaTheme="majorEastAsia" w:hAnsi="Courier New"/>
      <w:color w:val="FFFFFF" w:themeColor="background1"/>
      <w:sz w:val="20"/>
      <w:shd w:val="clear" w:color="auto" w:fill="404040" w:themeFill="text1" w:themeFillTint="BF"/>
    </w:rPr>
  </w:style>
  <w:style w:type="character" w:customStyle="1" w:styleId="Titre3Car">
    <w:name w:val="Titre 3 Car"/>
    <w:basedOn w:val="Policepardfaut"/>
    <w:link w:val="Titre3"/>
    <w:uiPriority w:val="9"/>
    <w:rsid w:val="00BF27B9"/>
    <w:rPr>
      <w:rFonts w:asciiTheme="majorHAnsi" w:eastAsiaTheme="majorEastAsia" w:hAnsiTheme="majorHAnsi" w:cstheme="majorBidi"/>
      <w:color w:val="1A606E" w:themeColor="accent1" w:themeShade="7F"/>
      <w:sz w:val="24"/>
      <w:szCs w:val="24"/>
      <w:lang w:val="en-US"/>
    </w:rPr>
  </w:style>
  <w:style w:type="character" w:customStyle="1" w:styleId="Titre1Car">
    <w:name w:val="Titre 1 Car"/>
    <w:basedOn w:val="Policepardfaut"/>
    <w:link w:val="Titre1"/>
    <w:uiPriority w:val="9"/>
    <w:rsid w:val="00BF27B9"/>
    <w:rPr>
      <w:rFonts w:asciiTheme="majorHAnsi" w:eastAsiaTheme="majorEastAsia" w:hAnsiTheme="majorHAnsi" w:cstheme="majorBidi"/>
      <w:color w:val="2790A5" w:themeColor="accent1" w:themeShade="BF"/>
      <w:sz w:val="32"/>
      <w:szCs w:val="32"/>
    </w:rPr>
  </w:style>
  <w:style w:type="paragraph" w:styleId="Paragraphedeliste">
    <w:name w:val="List Paragraph"/>
    <w:basedOn w:val="Normal"/>
    <w:link w:val="ParagraphedelisteCar"/>
    <w:uiPriority w:val="34"/>
    <w:qFormat/>
    <w:rsid w:val="00BF27B9"/>
    <w:pPr>
      <w:ind w:left="720"/>
      <w:contextualSpacing/>
    </w:pPr>
  </w:style>
  <w:style w:type="character" w:styleId="Rfrenceple">
    <w:name w:val="Subtle Reference"/>
    <w:basedOn w:val="Policepardfaut"/>
    <w:uiPriority w:val="31"/>
    <w:qFormat/>
    <w:rsid w:val="00BF27B9"/>
    <w:rPr>
      <w:smallCaps/>
      <w:color w:val="5A5A5A" w:themeColor="text1" w:themeTint="A5"/>
    </w:rPr>
  </w:style>
  <w:style w:type="character" w:styleId="Titredulivre">
    <w:name w:val="Book Title"/>
    <w:basedOn w:val="Policepardfaut"/>
    <w:uiPriority w:val="33"/>
    <w:qFormat/>
    <w:rsid w:val="00BF27B9"/>
    <w:rPr>
      <w:b/>
      <w:bCs/>
      <w:i/>
      <w:iCs/>
      <w:spacing w:val="5"/>
    </w:rPr>
  </w:style>
  <w:style w:type="character" w:customStyle="1" w:styleId="Titre4Car">
    <w:name w:val="Titre 4 Car"/>
    <w:basedOn w:val="Policepardfaut"/>
    <w:link w:val="Titre4"/>
    <w:uiPriority w:val="9"/>
    <w:rsid w:val="00BF27B9"/>
    <w:rPr>
      <w:rFonts w:asciiTheme="majorHAnsi" w:eastAsiaTheme="majorEastAsia" w:hAnsiTheme="majorHAnsi" w:cstheme="majorBidi"/>
      <w:i/>
      <w:iCs/>
      <w:color w:val="2790A5" w:themeColor="accent1" w:themeShade="BF"/>
    </w:rPr>
  </w:style>
  <w:style w:type="character" w:styleId="lev">
    <w:name w:val="Strong"/>
    <w:basedOn w:val="Policepardfaut"/>
    <w:uiPriority w:val="22"/>
    <w:qFormat/>
    <w:rsid w:val="00BF27B9"/>
    <w:rPr>
      <w:b/>
      <w:bCs/>
    </w:rPr>
  </w:style>
  <w:style w:type="character" w:styleId="Accentuation">
    <w:name w:val="Emphasis"/>
    <w:basedOn w:val="Policepardfaut"/>
    <w:uiPriority w:val="20"/>
    <w:qFormat/>
    <w:rsid w:val="00BF27B9"/>
    <w:rPr>
      <w:i/>
      <w:iCs/>
    </w:rPr>
  </w:style>
  <w:style w:type="paragraph" w:styleId="En-ttedetabledesmatires">
    <w:name w:val="TOC Heading"/>
    <w:basedOn w:val="Titre1"/>
    <w:next w:val="Normal"/>
    <w:uiPriority w:val="39"/>
    <w:unhideWhenUsed/>
    <w:qFormat/>
    <w:rsid w:val="00BF27B9"/>
    <w:pPr>
      <w:spacing w:before="240" w:after="0"/>
      <w:outlineLvl w:val="9"/>
    </w:pPr>
  </w:style>
  <w:style w:type="paragraph" w:customStyle="1" w:styleId="Default">
    <w:name w:val="Default"/>
    <w:rsid w:val="007536B6"/>
    <w:pPr>
      <w:autoSpaceDE w:val="0"/>
      <w:autoSpaceDN w:val="0"/>
      <w:adjustRightInd w:val="0"/>
      <w:spacing w:after="0" w:line="240" w:lineRule="auto"/>
    </w:pPr>
    <w:rPr>
      <w:rFonts w:ascii="Times New Roman" w:eastAsia="Cambria" w:hAnsi="Times New Roman" w:cs="Times New Roman"/>
      <w:color w:val="000000"/>
      <w:sz w:val="24"/>
      <w:szCs w:val="24"/>
    </w:rPr>
  </w:style>
  <w:style w:type="paragraph" w:styleId="Notedebasdepage">
    <w:name w:val="footnote text"/>
    <w:basedOn w:val="Normal"/>
    <w:link w:val="NotedebasdepageCar"/>
    <w:uiPriority w:val="99"/>
    <w:unhideWhenUsed/>
    <w:rsid w:val="007536B6"/>
    <w:rPr>
      <w:rFonts w:eastAsia="MS Mincho"/>
      <w:sz w:val="20"/>
      <w:szCs w:val="20"/>
    </w:rPr>
  </w:style>
  <w:style w:type="character" w:customStyle="1" w:styleId="NotedebasdepageCar">
    <w:name w:val="Note de bas de page Car"/>
    <w:basedOn w:val="Policepardfaut"/>
    <w:link w:val="Notedebasdepage"/>
    <w:uiPriority w:val="99"/>
    <w:rsid w:val="007536B6"/>
    <w:rPr>
      <w:rFonts w:ascii="Helvetica" w:eastAsia="MS Mincho" w:hAnsi="Helvetica" w:cs="Times New Roman"/>
      <w:sz w:val="20"/>
      <w:szCs w:val="20"/>
      <w:lang w:eastAsia="fr-FR"/>
    </w:rPr>
  </w:style>
  <w:style w:type="character" w:styleId="Appelnotedebasdep">
    <w:name w:val="footnote reference"/>
    <w:basedOn w:val="Policepardfaut"/>
    <w:uiPriority w:val="99"/>
    <w:semiHidden/>
    <w:unhideWhenUsed/>
    <w:rsid w:val="007536B6"/>
    <w:rPr>
      <w:vertAlign w:val="superscript"/>
    </w:rPr>
  </w:style>
  <w:style w:type="character" w:customStyle="1" w:styleId="ParagraphedelisteCar">
    <w:name w:val="Paragraphe de liste Car"/>
    <w:basedOn w:val="Policepardfaut"/>
    <w:link w:val="Paragraphedeliste"/>
    <w:uiPriority w:val="34"/>
    <w:locked/>
    <w:rsid w:val="007536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Cadre">
  <a:themeElements>
    <a:clrScheme name="Personnalisé 1">
      <a:dk1>
        <a:srgbClr val="000000"/>
      </a:dk1>
      <a:lt1>
        <a:srgbClr val="FFFFFF"/>
      </a:lt1>
      <a:dk2>
        <a:srgbClr val="545454"/>
      </a:dk2>
      <a:lt2>
        <a:srgbClr val="BFBFBF"/>
      </a:lt2>
      <a:accent1>
        <a:srgbClr val="40BAD2"/>
      </a:accent1>
      <a:accent2>
        <a:srgbClr val="FAB900"/>
      </a:accent2>
      <a:accent3>
        <a:srgbClr val="90BB23"/>
      </a:accent3>
      <a:accent4>
        <a:srgbClr val="EE7008"/>
      </a:accent4>
      <a:accent5>
        <a:srgbClr val="1AB39F"/>
      </a:accent5>
      <a:accent6>
        <a:srgbClr val="D5393D"/>
      </a:accent6>
      <a:hlink>
        <a:srgbClr val="7609B3"/>
      </a:hlink>
      <a:folHlink>
        <a:srgbClr val="7609B3"/>
      </a:folHlink>
    </a:clrScheme>
    <a:fontScheme name="Cadre">
      <a:majorFont>
        <a:latin typeface="Corbel" panose="020B0503020204020204"/>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Cadre">
      <a:fillStyleLst>
        <a:solidFill>
          <a:schemeClr val="phClr"/>
        </a:solidFill>
        <a:solidFill>
          <a:schemeClr val="phClr">
            <a:tint val="65000"/>
          </a:schemeClr>
        </a:solidFill>
        <a:solidFill>
          <a:schemeClr val="phClr">
            <a:shade val="80000"/>
            <a:satMod val="15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2700" h="25400" prst="coolSlant"/>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20000"/>
                <a:lumMod val="102000"/>
              </a:schemeClr>
            </a:gs>
            <a:gs pos="48000">
              <a:schemeClr val="phClr">
                <a:tint val="98000"/>
                <a:shade val="90000"/>
                <a:satMod val="110000"/>
                <a:lumMod val="103000"/>
              </a:schemeClr>
            </a:gs>
            <a:gs pos="100000">
              <a:schemeClr val="phClr">
                <a:tint val="98000"/>
                <a:shade val="8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Frame" id="{F226E7A2-7162-461C-9490-D27D9DC04E43}" vid="{629A0216-3BBD-45C0-B63F-2683BEA18F60}"/>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1264</Words>
  <Characters>6958</Characters>
  <Application>Microsoft Office Word</Application>
  <DocSecurity>0</DocSecurity>
  <Lines>57</Lines>
  <Paragraphs>16</Paragraphs>
  <ScaleCrop>false</ScaleCrop>
  <Company/>
  <LinksUpToDate>false</LinksUpToDate>
  <CharactersWithSpaces>8206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Gaelle Rauffet</dc:creator>
  <cp:keywords/>
  <dc:description/>
  <cp:lastModifiedBy>Gaelle Rauffet</cp:lastModifiedBy>
  <cp:revision>1</cp:revision>
  <dcterms:created xsi:type="dcterms:W3CDTF">2017-06-13T09:26:00Z</dcterms:created>
  <dcterms:modified xsi:type="dcterms:W3CDTF">2017-06-13T09:27:00Z</dcterms:modified>
</cp:coreProperties>
</file>