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MCH Río Blanco</w:t>
        <w:br/>
      </w:r>
      <w:r>
        <w:rPr>
          <w:color w:val="087E8B"/>
          <w:sz w:val="34"/>
        </w:rPr>
        <w:t>100 kW · Ollachea, Puno</w:t>
      </w:r>
    </w:p>
    <w:p>
      <w:pPr>
        <w:jc w:val="center"/>
      </w:pPr>
      <w:r>
        <w:rPr>
          <w:b/>
          <w:sz w:val="22"/>
        </w:rPr>
        <w:t>PAQUETE PARA REVISIÓN DEL INGENIERO</w:t>
        <w:br/>
        <w:t>ESTUDIO DE PREFACTIBILIDAD</w:t>
      </w:r>
    </w:p>
    <w:p>
      <w:r>
        <w:t>Emisión: 16 de octubre de 2026  |  Estado: preliminar, sujeto a verificación</w:t>
      </w:r>
    </w:p>
    <w:p>
      <w:pPr>
        <w:pStyle w:val="Heading1"/>
      </w:pPr>
      <w:r>
        <w:t>1. Objeto y alcance</w:t>
      </w:r>
    </w:p>
    <w:p>
      <w:r>
        <w:t>Se entrega el estudio existente de una microcentral hidroeléctrica de 100 kW en Río Blanco, Ollachea, Puno, ordenado para revisión técnica. La reproducción adjunta se limita a los cálculos de prefactibilidad hidrológica, hidráulica, energética y económica. No constituye ingeniería de detalle, diseño para construcción ni validación de viabilidad.</w:t>
      </w:r>
    </w:p>
    <w:p>
      <w:pPr>
        <w:pStyle w:val="Heading1"/>
      </w:pPr>
      <w:r>
        <w:t>2. Resultados reproducibles del escenario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Parámetro</w:t>
            </w:r>
          </w:p>
        </w:tc>
        <w:tc>
          <w:tcPr>
            <w:tcW w:type="dxa" w:w="4939"/>
          </w:tcPr>
          <w:p>
            <w:r>
              <w:t>Resultado del modelo</w:t>
            </w:r>
          </w:p>
        </w:tc>
      </w:tr>
      <w:tr>
        <w:tc>
          <w:tcPr>
            <w:tcW w:type="dxa" w:w="4939"/>
          </w:tcPr>
          <w:p>
            <w:r>
              <w:t>Serie</w:t>
            </w:r>
          </w:p>
        </w:tc>
        <w:tc>
          <w:tcPr>
            <w:tcW w:type="dxa" w:w="4939"/>
          </w:tcPr>
          <w:p>
            <w:r>
              <w:t>3,652 registros; Q medio 0.523 m³/s; Q95 0.126 m³/s</w:t>
            </w:r>
          </w:p>
        </w:tc>
      </w:tr>
      <w:tr>
        <w:tc>
          <w:tcPr>
            <w:tcW w:type="dxa" w:w="4939"/>
          </w:tcPr>
          <w:p>
            <w:r>
              <w:t>Diseño hidráulico</w:t>
            </w:r>
          </w:p>
        </w:tc>
        <w:tc>
          <w:tcPr>
            <w:tcW w:type="dxa" w:w="4939"/>
          </w:tcPr>
          <w:p>
            <w:r>
              <w:t>Qd 0.125 m³/s; salto bruto 115 m; salto neto 106.18 m</w:t>
            </w:r>
          </w:p>
        </w:tc>
      </w:tr>
      <w:tr>
        <w:tc>
          <w:tcPr>
            <w:tcW w:type="dxa" w:w="4939"/>
          </w:tcPr>
          <w:p>
            <w:r>
              <w:t>Potencia</w:t>
            </w:r>
          </w:p>
        </w:tc>
        <w:tc>
          <w:tcPr>
            <w:tcW w:type="dxa" w:w="4939"/>
          </w:tcPr>
          <w:p>
            <w:r>
              <w:t>104.43 kW calculados frente a generador supuesto de 125 kVA (100 kW a FP 0.8)</w:t>
            </w:r>
          </w:p>
        </w:tc>
      </w:tr>
      <w:tr>
        <w:tc>
          <w:tcPr>
            <w:tcW w:type="dxa" w:w="4939"/>
          </w:tcPr>
          <w:p>
            <w:r>
              <w:t>Energía</w:t>
            </w:r>
          </w:p>
        </w:tc>
        <w:tc>
          <w:tcPr>
            <w:tcW w:type="dxa" w:w="4939"/>
          </w:tcPr>
          <w:p>
            <w:r>
              <w:t>862.92 MWh/año; factor de planta 98.51%</w:t>
            </w:r>
          </w:p>
        </w:tc>
      </w:tr>
      <w:tr>
        <w:tc>
          <w:tcPr>
            <w:tcW w:type="dxa" w:w="4939"/>
          </w:tcPr>
          <w:p>
            <w:r>
              <w:t>Economía del escenario</w:t>
            </w:r>
          </w:p>
        </w:tc>
        <w:tc>
          <w:tcPr>
            <w:tcW w:type="dxa" w:w="4939"/>
          </w:tcPr>
          <w:p>
            <w:r>
              <w:t>VAN USD 274,741.65; TIR 23.20%; repago simple 4.29 años</w:t>
            </w:r>
          </w:p>
        </w:tc>
      </w:tr>
      <w:tr>
        <w:tc>
          <w:tcPr>
            <w:tcW w:type="dxa" w:w="4939"/>
          </w:tcPr>
          <w:p>
            <w:r>
              <w:t>Otros indicadores</w:t>
            </w:r>
          </w:p>
        </w:tc>
        <w:tc>
          <w:tcPr>
            <w:tcW w:type="dxa" w:w="4939"/>
          </w:tcPr>
          <w:p>
            <w:r>
              <w:t>LCOE USD 39.90/MWh; B/C 1.88</w:t>
            </w:r>
          </w:p>
        </w:tc>
      </w:tr>
    </w:tbl>
    <w:p>
      <w:r>
        <w:t>El caso económico ahora utiliza el factor de planta producido por el balance energético del mismo paquete. La energía y todos los indicadores siguen siendo de escenario: la serie de caudales no tiene fuente primaria acreditada.</w:t>
      </w:r>
    </w:p>
    <w:p>
      <w:pPr>
        <w:pStyle w:val="Heading1"/>
      </w:pPr>
      <w:r>
        <w:t>3. Puntos de revisión prioritarios</w:t>
      </w:r>
    </w:p>
    <w:p>
      <w:pPr>
        <w:pStyle w:val="ListBullet"/>
      </w:pPr>
      <w:r>
        <w:rPr>
          <w:b/>
        </w:rPr>
        <w:t xml:space="preserve">Hidrología y datos: </w:t>
      </w:r>
      <w:r>
        <w:t>Acreditar origen de los 3,652 caudales diarios (2014–2023), estaciones, método de extensión, aforos, vacíos, control de calidad y representatividad. Los archivos duplicados no son corroboración independiente.</w:t>
      </w:r>
    </w:p>
    <w:p>
      <w:pPr>
        <w:pStyle w:val="ListBullet"/>
      </w:pPr>
      <w:r>
        <w:rPr>
          <w:b/>
        </w:rPr>
        <w:t xml:space="preserve">Caudal ecológico y derechos: </w:t>
      </w:r>
      <w:r>
        <w:t>Verificar caudal ecológico con la autoridad y el procedimiento vigente de ANA; 30 L/s es un supuesto de modelo. Confirmar disponibilidad y derechos de uso de agua.</w:t>
      </w:r>
    </w:p>
    <w:p>
      <w:pPr>
        <w:pStyle w:val="ListBullet"/>
      </w:pPr>
      <w:r>
        <w:rPr>
          <w:b/>
        </w:rPr>
        <w:t xml:space="preserve">Potencia y equipo: </w:t>
      </w:r>
      <w:r>
        <w:t>Resolver la diferencia entre 104.43 kW calculados y límite de 100 kW eléctricos declarado. Confirmar eficiencias, número de unidades, curva de turbina, altura de diseño y potencia neta entregable.</w:t>
      </w:r>
    </w:p>
    <w:p>
      <w:pPr>
        <w:pStyle w:val="ListBullet"/>
      </w:pPr>
      <w:r>
        <w:t>Tensión y conexión: El escenario documental adopta generador 125 kVA, 400/230 V y transformador 125 kVA, 0.4/10 kV. Confirmar tensión real, potencia de exportación, punto de conexión, protecciones y condiciones con la distribuidora; planos heredados pueden mostrar datos distintos.</w:t>
      </w:r>
    </w:p>
    <w:p>
      <w:pPr>
        <w:pStyle w:val="ListBullet"/>
      </w:pPr>
      <w:r>
        <w:rPr>
          <w:b/>
        </w:rPr>
        <w:t xml:space="preserve">Emplazamiento y permisos: </w:t>
      </w:r>
      <w:r>
        <w:t>Levantar topografía/geodesia, geotecnia y trazado verificables; completar evaluación ambiental y social, servidumbres, accesos y permisos sectoriales.</w:t>
      </w:r>
    </w:p>
    <w:p>
      <w:pPr>
        <w:pStyle w:val="ListBullet"/>
      </w:pPr>
      <w:r>
        <w:rPr>
          <w:b/>
        </w:rPr>
        <w:t xml:space="preserve">Costos y finanzas: </w:t>
      </w:r>
      <w:r>
        <w:t>Respaldar CAPEX, OPEX, tarifa, contingencias, tipo de cambio, impuestos y financiamiento con cotizaciones y supuestos aprobados. Los indicadores actuales no demuestran bancabilidad.</w:t>
      </w:r>
    </w:p>
    <w:p>
      <w:pPr>
        <w:pStyle w:val="Heading1"/>
      </w:pPr>
      <w:r>
        <w:t>4. Entregables y reproducción</w:t>
      </w:r>
    </w:p>
    <w:p>
      <w:r>
        <w:t>La carpeta incluye informe PDF, anexo hidrológico, metadatos e insumos, módulos fuente, matriz de trazabilidad, estado de prefactibilidad y este resumen editable. Para reproducir el escenario, ejecutar desde la carpeta del paquete:</w:t>
      </w:r>
    </w:p>
    <w:p>
      <w:r>
        <w:rPr>
          <w:rFonts w:ascii="Consolas" w:hAnsi="Consolas"/>
          <w:color w:val="087E8B"/>
          <w:sz w:val="20"/>
        </w:rPr>
        <w:t>python reproducir_prefactibilidad.py</w:t>
      </w:r>
    </w:p>
    <w:p>
      <w:r>
        <w:t>El script ejecutado produjo 862.92 MWh/año, FP 98.51%, VAN USD 274,741.65, TIR 23.20%, payback 4.29 años, LCOE USD 39.90/MWh y B/C 1.88. La validación de archivo es estructural; no audita datos fuente.</w:t>
      </w:r>
    </w:p>
    <w:p>
      <w:pPr>
        <w:pStyle w:val="Heading1"/>
      </w:pPr>
      <w:r>
        <w:t>Conclusión para la reunión</w:t>
      </w:r>
    </w:p>
    <w:p>
      <w:r>
        <w:t>Solicitar al ingeniero que confirme primero la base hidrológica, el caudal ecológico y derechos de agua, el dimensionamiento del grupo generador y la solución de interconexión. Hasta resolverlos, tratar potencia, energía, costos y rentabilidad como hipótesis de prefactibilidad.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de trabajo para revisión profesional  |  16.10.2026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PREFactibilidad · MCH RÍO BLANCO · PUNO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A36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