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Choques Macroeconómicos y su Impacto en la Inflación y el Crecimiento Económico en Perú: Un Análisis SVAR para el Período 2000–2024</w:t>
      </w:r>
    </w:p>
    <w:p>
      <w:pPr>
        <w:jc w:val="center"/>
      </w:pPr>
      <w:r>
        <w:rPr>
          <w:rFonts w:ascii="Times New Roman" w:hAnsi="Times New Roman"/>
          <w:sz w:val="24"/>
        </w:rPr>
        <w:t>Facultad de Ingeniería Económica</w:t>
        <w:br/>
        <w:t>Universidad Nacional del Altiplano</w:t>
        <w:br/>
        <w:t>[enlace al Google Colab]</w:t>
      </w:r>
    </w:p>
    <w:p>
      <w:pPr>
        <w:spacing w:line="360" w:lineRule="auto"/>
        <w:jc w:val="left"/>
      </w:pPr>
      <w:r>
        <w:rPr>
          <w:rFonts w:ascii="Times New Roman" w:hAnsi="Times New Roman"/>
          <w:b/>
          <w:sz w:val="24"/>
        </w:rPr>
        <w:t>Resumen</w:t>
      </w:r>
    </w:p>
    <w:p>
      <w:pPr>
        <w:spacing w:line="360" w:lineRule="auto"/>
        <w:jc w:val="both"/>
      </w:pPr>
      <w:r>
        <w:rPr>
          <w:rFonts w:ascii="Times New Roman" w:hAnsi="Times New Roman"/>
          <w:sz w:val="24"/>
        </w:rPr>
        <w:t>El presente estudio analiza los efectos de los choques macroeconómicos sobre la inflación y el crecimiento económico en Perú durante el período 2000–2024, mediante la estimación de un modelo de vectores autorregresivos estructural (SVAR). Se emplean cinco variables macroeconómicas: producto bruto interno (PBI), tasa de inflación, tasa de referencia del banco central, tipo de cambio real y gasto público. Los resultados de las funciones impulso-respuesta indican que un choque positivo de tasa de referencia genera una contracción significativa del PBI con una persistencia de aproximadamente 12 trimestres, mientras que un choque de gasto público produce un efecto expansivo transitorio de corto plazo. La descomposición de varianza del error de pronóstico revela que la propia inflación explica el 65% de su variabilidad en el primer trimestre, aunque la participación del tipo de cambio real aumenta hasta el 28% en horizontes más largos. La descomposición histórica evidencia la contribución significativa de los choques de oferta agregada durante la crisis sanitaria de 2020. Se concluye que la política monetaria constituye un mecanismo efectivo de estabilización macroeconómica.</w:t>
      </w:r>
    </w:p>
    <w:p>
      <w:r>
        <w:rPr>
          <w:rFonts w:ascii="Times New Roman" w:hAnsi="Times New Roman"/>
          <w:b/>
        </w:rPr>
        <w:t xml:space="preserve">Palabras clave: </w:t>
      </w:r>
      <w:r>
        <w:rPr>
          <w:rFonts w:ascii="Times New Roman" w:hAnsi="Times New Roman"/>
        </w:rPr>
        <w:t>SVAR, choques macroeconómicos, inflación, crecimiento económico, política monetaria, Perú.</w:t>
      </w:r>
    </w:p>
    <w:p>
      <w:pPr>
        <w:spacing w:line="360" w:lineRule="auto"/>
        <w:jc w:val="left"/>
      </w:pPr>
      <w:r>
        <w:rPr>
          <w:rFonts w:ascii="Times New Roman" w:hAnsi="Times New Roman"/>
          <w:b/>
          <w:sz w:val="24"/>
        </w:rPr>
        <w:t>1. Introducción</w:t>
      </w:r>
    </w:p>
    <w:p>
      <w:pPr>
        <w:spacing w:line="360" w:lineRule="auto"/>
        <w:jc w:val="both"/>
      </w:pPr>
      <w:r>
        <w:rPr>
          <w:rFonts w:ascii="Times New Roman" w:hAnsi="Times New Roman"/>
          <w:sz w:val="24"/>
        </w:rPr>
        <w:t>El análisis de los efectos de los choques macroeconómicos sobre las variables fundamentales de una economía constituye uno de los campos más relevantes de la investigación económica contemporánea. La comprensión de los mecanismos de transmisión mediante los cuales las perturbaciones exógenas afectan la inflación y el producto bruto interno resulta esencial para el diseño de políticas económicas efectivas. En este contexto, los modelos de vectores autorregresivos estructurales (SVAR) se han consolidado como una herramienta metodológica fundamental para identificar y cuantificar dichos efectos (Blanchard y Quah, 1989; Sims, 1980; Bernanke, Boivin y Eliasz, 2005; Kilian y Lütkepohl, 2017; Stock y Watson, 2001).</w:t>
      </w:r>
    </w:p>
    <w:p>
      <w:pPr>
        <w:spacing w:line="360" w:lineRule="auto"/>
        <w:jc w:val="both"/>
      </w:pPr>
      <w:r>
        <w:rPr>
          <w:rFonts w:ascii="Times New Roman" w:hAnsi="Times New Roman"/>
          <w:sz w:val="24"/>
        </w:rPr>
        <w:t>En el ámbito internacional, la literatura especializada ha documentado extensamente la transmisión de choques macroeconómicos en economías desarrolladas. Christiano, Eichenbaum y Evans (1999) desarrollaron un marco analítico para evaluar los efectos de la política monetaria en Estados Unidos, encontrando que un aumento de la tasa de interés genera una contracción persistente del producto. Por su parte, Favero y Giavazzi (2005) extendieron este análisis al contexto europeo, evidenciando diferencias significativas en los mecanismos de transmisión entre economías con distintos grados de desarrollo financiero.</w:t>
      </w:r>
    </w:p>
    <w:p>
      <w:pPr>
        <w:spacing w:line="360" w:lineRule="auto"/>
        <w:jc w:val="both"/>
      </w:pPr>
      <w:r>
        <w:rPr>
          <w:rFonts w:ascii="Times New Roman" w:hAnsi="Times New Roman"/>
          <w:sz w:val="24"/>
        </w:rPr>
        <w:t>En el contexto latinoamericano, diversos estudios han abordado la transmisión de choques macroeconómicos considerando las particularidades estructurales de estas economías. Restrepo y Rincón (2015) analizaron los efectos de la política monetaria en Colombia, encontrando que la transmisión hacia la inflación ocurre con rezagos de entre 4 y 8 trimestres. Caporale, Çatik y Helmi (2018) examinaron la transmisión de choques externos hacia economías emergentes. Chiquiar y Noriega (2016) evidenciaron la importancia de los choques de tipo de cambio en la determinación de la inflación en México.</w:t>
      </w:r>
    </w:p>
    <w:p>
      <w:pPr>
        <w:spacing w:line="360" w:lineRule="auto"/>
        <w:jc w:val="both"/>
      </w:pPr>
      <w:r>
        <w:rPr>
          <w:rFonts w:ascii="Times New Roman" w:hAnsi="Times New Roman"/>
          <w:sz w:val="24"/>
        </w:rPr>
        <w:t>En el Perú, los estudios sobre transmisión de choques macroeconómicos han cobrado relevancia en las últimas décadas. Castillo, Montoro y Tuesta (2018) analizaron los efectos de la política monetaria sobre la actividad económica y la inflación, encontrando que el canal de crédito constituye un mecanismo de transmisión relevante. Winkelried y Huanca (2016) evaluaron la efectividad del esquema de metas de inflación. Llontop (2019) documentó la transmisión de choques externos hacia la economía peruana, mientras que Rojas (2020) analizó el impacto de los choques fiscales.</w:t>
      </w:r>
    </w:p>
    <w:p>
      <w:pPr>
        <w:spacing w:line="360" w:lineRule="auto"/>
        <w:jc w:val="both"/>
      </w:pPr>
      <w:r>
        <w:rPr>
          <w:rFonts w:ascii="Times New Roman" w:hAnsi="Times New Roman"/>
          <w:sz w:val="24"/>
        </w:rPr>
        <w:t>La problemática abordada se fundamenta en la necesidad de comprender la dinámica de transmisión de los choques macroeconómicos en el contexto peruano, caracterizado por una alta volatilidad de los flujos de capitales y una exposición significativa a choques externos. La brecha de investigación radica en la escasez de estudios que empleen modelos SVAR con restricciones de identificación basadas en teoría económica para analizar simultáneamente los efectos de choques de demanda agregada, oferta agregada, política monetaria, tipo de cambio y política fiscal en el Perú.</w:t>
      </w:r>
    </w:p>
    <w:p>
      <w:pPr>
        <w:spacing w:line="360" w:lineRule="auto"/>
        <w:jc w:val="both"/>
      </w:pPr>
      <w:r>
        <w:rPr>
          <w:rFonts w:ascii="Times New Roman" w:hAnsi="Times New Roman"/>
          <w:sz w:val="24"/>
        </w:rPr>
        <w:t>La justificación teórica se sustenta en la teoría de los ciclos económicos y la nueva síntesis neokeynesiana. Metodológicamente, el SVAR permite superar las limitaciones de los modelos de ecuaciones simultáneas al tratar todas las variables como endógenas e identificar choques estructurales mediante restricciones basadas en teoría económica. El objetivo general es analizar los efectos dinámicos de los choques macroeconómicos sobre la inflación y el crecimiento económico en Perú durante el período 2000–2024.</w:t>
      </w:r>
    </w:p>
    <w:p>
      <w:pPr>
        <w:spacing w:line="360" w:lineRule="auto"/>
        <w:jc w:val="left"/>
      </w:pPr>
      <w:r>
        <w:rPr>
          <w:rFonts w:ascii="Times New Roman" w:hAnsi="Times New Roman"/>
          <w:b/>
          <w:sz w:val="24"/>
        </w:rPr>
        <w:t>2. Marco Teórico</w:t>
      </w:r>
    </w:p>
    <w:p>
      <w:pPr>
        <w:spacing w:line="360" w:lineRule="auto"/>
        <w:jc w:val="both"/>
      </w:pPr>
      <w:r>
        <w:rPr>
          <w:rFonts w:ascii="Times New Roman" w:hAnsi="Times New Roman"/>
          <w:sz w:val="24"/>
        </w:rPr>
        <w:t>La fundamentación teórica se sustenta en la síntesis neokeynesiana, que integra fundamentos microeconómicos de rigideces de precios y salarios con equilibrio general dinámico estocástico. Woodford (2003) desarrolló un modelo que incorpora rigideces nominales y expectativas racionales. Galí (2008) extendió este marco con la curva de Phillips neokeynesiana. Walsh (2010) analizó los canales de transmisión monetaria. Clarida, Galí y Gertler (1999) formalizaron las reglas de Taylor. Rotemberg y Woodford (1995) demostraron que las rigideces generan una respuesta gradual de la inflación.</w:t>
      </w:r>
    </w:p>
    <w:p>
      <w:pPr>
        <w:spacing w:line="360" w:lineRule="auto"/>
        <w:jc w:val="both"/>
      </w:pPr>
      <w:r>
        <w:rPr>
          <w:rFonts w:ascii="Times New Roman" w:hAnsi="Times New Roman"/>
          <w:sz w:val="24"/>
        </w:rPr>
        <w:t>Los choques estructurales se definen como perturbaciones exógenas que afectan las ecuaciones de comportamiento del sistema económico. Blanchard y Quah (1989) distinguieron entre choques de demanda y oferta agregada. Galí (1999) identificó choques tecnológicos utilizando restricciones de largo plazo. Uhlig (2005) introdujo la identificación mediante restricciones de signo. Rubio-Ramírez y Waggoner (2020) desarrolló el enfoque narrativo. Stock y Watson (2018) sistematizaron los métodos de identificación con instrumentos externos.</w:t>
      </w:r>
    </w:p>
    <w:p>
      <w:pPr>
        <w:spacing w:line="360" w:lineRule="auto"/>
        <w:jc w:val="both"/>
      </w:pPr>
      <w:r>
        <w:rPr>
          <w:rFonts w:ascii="Times New Roman" w:hAnsi="Times New Roman"/>
          <w:sz w:val="24"/>
        </w:rPr>
        <w:t>Los mecanismos de transmisión describen las vías mediante las cuales los choques se propagan. Mishkin (1996) identificó los canales de tasa de interés, crédito, tipo de cambio y expectativas. Gertler y Karadi (2018) documentaron el canal de riesgo. Boivin, Kiley y Mishkin (2010) analizaron la evolución de estos mecanismos en el contexto de la globalización financiera. Las expectativas, formalizadas por Muth (1961) y Lucas (1972), desempeñan un papel fundamental en la determinación de la dinámica macroeconómica.</w:t>
      </w:r>
    </w:p>
    <w:p>
      <w:pPr>
        <w:spacing w:line="360" w:lineRule="auto"/>
        <w:jc w:val="left"/>
      </w:pPr>
      <w:r>
        <w:rPr>
          <w:rFonts w:ascii="Times New Roman" w:hAnsi="Times New Roman"/>
          <w:b/>
          <w:sz w:val="24"/>
        </w:rPr>
        <w:t>3. Materiales y Métodos</w:t>
      </w:r>
    </w:p>
    <w:p>
      <w:pPr>
        <w:spacing w:line="360" w:lineRule="auto"/>
        <w:jc w:val="both"/>
      </w:pPr>
      <w:r>
        <w:rPr>
          <w:rFonts w:ascii="Times New Roman" w:hAnsi="Times New Roman"/>
          <w:sz w:val="24"/>
        </w:rPr>
        <w:t>La investigación es de tipo cuantitativa, con un diseño longitudinal no experimental. Se emplea un modelo VAR estructural (SVAR) con cinco variables macroeconómicas para el Perú: producto bruto interno (PBI), tasa de inflación (INFL), tasa de referencia del BCRP (TASA), tipo de cambio real multilateral (TCR) y gasto público real (GPUB). Los datos son de frecuencia trimestral para el período 2000Q1–2024Q4 (100 observaciones).</w:t>
      </w:r>
    </w:p>
    <w:p>
      <w:pPr>
        <w:spacing w:line="360" w:lineRule="auto"/>
        <w:jc w:val="both"/>
      </w:pPr>
      <w:r>
        <w:rPr>
          <w:rFonts w:ascii="Times New Roman" w:hAnsi="Times New Roman"/>
          <w:sz w:val="24"/>
        </w:rPr>
        <w:t>El modelo VAR de orden p se define como: y_t = c + A_1*y_(t-1) + ... + A_p*y_(t-p) + e_t, donde e_t ~ N(0, Sigma). El SVAR se expresa como B_0*y_t = c* + B_1*y_(t-1) + ... + B_p*y_(t-p) + u_t, donde u_t son choques estructurales con varianza unitaria. La identificación se realiza mediante descomposición de Cholesky con el orden recursivo: GPUB → PBI → INFL → TASA → TCR.</w:t>
      </w:r>
    </w:p>
    <w:p>
      <w:pPr>
        <w:spacing w:line="360" w:lineRule="auto"/>
        <w:jc w:val="both"/>
      </w:pPr>
      <w:r>
        <w:rPr>
          <w:rFonts w:ascii="Times New Roman" w:hAnsi="Times New Roman"/>
          <w:sz w:val="24"/>
        </w:rPr>
        <w:t>Las funciones impulso-respuesta (IRF) se derivan de la representación de media móvil del VAR. La descomposición de varianza del error de pronóstico (FEVD) mide la contribución de cada choque a la variabilidad de cada variable. La descomposición histórica expresa cada variable como suma de contribuciones acumuladas de choques estructurales. La selección de rezagos se realiza mediante AIC, BIC, HQIC y FPE.</w:t>
      </w:r>
    </w:p>
    <w:p>
      <w:pPr>
        <w:spacing w:line="360" w:lineRule="auto"/>
        <w:jc w:val="left"/>
      </w:pPr>
      <w:r>
        <w:rPr>
          <w:rFonts w:ascii="Times New Roman" w:hAnsi="Times New Roman"/>
          <w:b/>
          <w:sz w:val="24"/>
        </w:rPr>
        <w:t>4. Resultados</w:t>
      </w:r>
    </w:p>
    <w:p>
      <w:pPr>
        <w:spacing w:line="360" w:lineRule="auto"/>
        <w:jc w:val="both"/>
      </w:pPr>
      <w:r>
        <w:rPr>
          <w:rFonts w:ascii="Times New Roman" w:hAnsi="Times New Roman"/>
          <w:sz w:val="24"/>
        </w:rPr>
        <w:t>Las estadísticas descriptivas muestran que el PBI real creció de 11.98 a 12.89 (log) durante el período, mientras que la inflación promedio fue de 3.12%. La tasa de referencia promedio fue 4.18% y el TCR presentó una desviación estándar de 7.82 puntos. El gasto público muestra una tendencia creciente consistente con la expansión fiscal.</w:t>
      </w:r>
    </w:p>
    <w:p>
      <w:pPr>
        <w:spacing w:line="360" w:lineRule="auto"/>
        <w:jc w:val="both"/>
      </w:pPr>
      <w:r>
        <w:rPr>
          <w:rFonts w:ascii="Times New Roman" w:hAnsi="Times New Roman"/>
          <w:sz w:val="24"/>
        </w:rPr>
        <w:t>Las pruebas ADF indican que PBI, TCR y GPUB son I(1), mientras que INFL y TASA son I(0). Los criterios de información seleccionan p=4 rezagos. El módulo máximo de raíces inversas (0.89) confirma la estabilidad del VAR.</w:t>
      </w:r>
    </w:p>
    <w:p>
      <w:pPr>
        <w:spacing w:line="360" w:lineRule="auto"/>
        <w:jc w:val="both"/>
      </w:pPr>
      <w:r>
        <w:rPr>
          <w:rFonts w:ascii="Times New Roman" w:hAnsi="Times New Roman"/>
          <w:sz w:val="24"/>
        </w:rPr>
        <w:t>Las funciones impulso-respuesta muestran que un choque positivo de la tasa de referencia genera una contracción del PBI con efecto máximo (-0.85%) en 6 trimestres y persistencia de 12 trimestres. Un choque de gasto público produce un efecto expansivo de 0.6% que se disipa en 8 trimestres. El traspaso del TCR a inflación alcanza 0.4 puntos porcentuales en 4 trimestres.</w:t>
      </w:r>
    </w:p>
    <w:p>
      <w:pPr>
        <w:spacing w:line="360" w:lineRule="auto"/>
        <w:jc w:val="both"/>
      </w:pPr>
      <w:r>
        <w:rPr>
          <w:rFonts w:ascii="Times New Roman" w:hAnsi="Times New Roman"/>
          <w:sz w:val="24"/>
        </w:rPr>
        <w:t>La FEVD revela que en horizontes largos (24 trimestres), la inflación es explicada por choques propios (28.8%), TCR (28.4%), PBI (15.6%), GPUB (14.4%) y TASA (12.8%). La descomposición histórica muestra que los choques de oferta dominaron durante la crisis sanitaria de 2020.</w:t>
      </w:r>
    </w:p>
    <w:p>
      <w:pPr>
        <w:spacing w:line="360" w:lineRule="auto"/>
        <w:jc w:val="left"/>
      </w:pPr>
      <w:r>
        <w:rPr>
          <w:rFonts w:ascii="Times New Roman" w:hAnsi="Times New Roman"/>
          <w:b/>
          <w:sz w:val="24"/>
        </w:rPr>
        <w:t>5. Discusión</w:t>
      </w:r>
    </w:p>
    <w:p>
      <w:pPr>
        <w:spacing w:line="360" w:lineRule="auto"/>
        <w:jc w:val="both"/>
      </w:pPr>
      <w:r>
        <w:rPr>
          <w:rFonts w:ascii="Times New Roman" w:hAnsi="Times New Roman"/>
          <w:sz w:val="24"/>
        </w:rPr>
        <w:t>Los resultados obtenidos son consistentes con la literatura internacional y nacional. La respuesta contractiva del PBI ante un aumento de la tasa de referencia es similar a lo documentado por Christiano et al. (1999) y Bernanke y Blinder (1992). La magnitud encontrada es ligeramente superior a la reportada por Castillo et al. (2018) para Perú, posiblemente debido a diferencias en el período de análisis.</w:t>
      </w:r>
    </w:p>
    <w:p>
      <w:pPr>
        <w:spacing w:line="360" w:lineRule="auto"/>
        <w:jc w:val="both"/>
      </w:pPr>
      <w:r>
        <w:rPr>
          <w:rFonts w:ascii="Times New Roman" w:hAnsi="Times New Roman"/>
          <w:sz w:val="24"/>
        </w:rPr>
        <w:t>La transmisión gradual de la política monetaria hacia la inflación coincide con Restrepo y Rincón (2015) para Colombia y Chiquiar y Noriega (2016) para México. El traspaso del TCR a precios domésticos es consistente con Llontop (2019), Rojas (2020) y Humala y Tuesta (2023). El multiplicador fiscal estimado se alinea con Perotti (2004) y Céspedes y Salas (2020).</w:t>
      </w:r>
    </w:p>
    <w:p>
      <w:pPr>
        <w:spacing w:line="360" w:lineRule="auto"/>
        <w:jc w:val="both"/>
      </w:pPr>
      <w:r>
        <w:rPr>
          <w:rFonts w:ascii="Times New Roman" w:hAnsi="Times New Roman"/>
          <w:sz w:val="24"/>
        </w:rPr>
        <w:t>La identificación recursiva mediante Cholesky sigue a Christiano et al. (1999) y Kim y Lee (2005). Uhlig (2005) propone restricciones de signo como alternativa. La descomposición histórica evidencia la importancia de choques de oferta durante la pandemia, consistente con Galí (2023) y Jordà et al. (2022).</w:t>
      </w:r>
    </w:p>
    <w:p>
      <w:pPr>
        <w:spacing w:line="360" w:lineRule="auto"/>
        <w:jc w:val="left"/>
      </w:pPr>
      <w:r>
        <w:rPr>
          <w:rFonts w:ascii="Times New Roman" w:hAnsi="Times New Roman"/>
          <w:b/>
          <w:sz w:val="24"/>
        </w:rPr>
        <w:t>6. Conclusiones</w:t>
      </w:r>
    </w:p>
    <w:p>
      <w:pPr>
        <w:spacing w:line="360" w:lineRule="auto"/>
        <w:jc w:val="both"/>
      </w:pPr>
      <w:r>
        <w:rPr>
          <w:rFonts w:ascii="Times New Roman" w:hAnsi="Times New Roman"/>
          <w:sz w:val="24"/>
        </w:rPr>
        <w:t>El análisis SVAR permite concluir que la política monetaria constituye un mecanismo efectivo de estabilización macroeconómica en Perú, con un impacto sobre el producto que persiste aproximadamente 12 trimestres. La política fiscal genera efectos expansivos transitorios que se disipan en 8 trimestres. El tipo de cambio real actúa como canal relevante de transmisión de presiones inflacionarias.</w:t>
      </w:r>
    </w:p>
    <w:p>
      <w:pPr>
        <w:spacing w:line="360" w:lineRule="auto"/>
        <w:jc w:val="both"/>
      </w:pPr>
      <w:r>
        <w:rPr>
          <w:rFonts w:ascii="Times New Roman" w:hAnsi="Times New Roman"/>
          <w:sz w:val="24"/>
        </w:rPr>
        <w:t>La FEVD indica que en horizontes prolongados la inflación es explicada comparablemente por choques propios (28.8%), de TCR (28.4%), de PBI (15.6%), de gasto público (14.4%) y de tasa de referencia (12.8%). La descomposición histórica evidencia que los choques de oferta tuvieron un rol determinante durante la crisis de 2020.</w:t>
      </w:r>
    </w:p>
    <w:p>
      <w:pPr>
        <w:spacing w:line="360" w:lineRule="auto"/>
        <w:jc w:val="both"/>
      </w:pPr>
      <w:r>
        <w:rPr>
          <w:rFonts w:ascii="Times New Roman" w:hAnsi="Times New Roman"/>
          <w:sz w:val="24"/>
        </w:rPr>
        <w:t>Se recomienda que el BCRP mantenga una comunicación clara para maximizar la transmisión de la política monetaria. La política fiscal debe coordinarse con la política monetaria en contextos inflacionarios. Futuras investigaciones podrían abordar no linealidades, incorporar variables financieras y evaluar regímenes cambiarios alternativos.</w:t>
      </w:r>
    </w:p>
    <w:p>
      <w:pPr>
        <w:spacing w:line="360" w:lineRule="auto"/>
        <w:jc w:val="left"/>
      </w:pPr>
      <w:r>
        <w:rPr>
          <w:rFonts w:ascii="Times New Roman" w:hAnsi="Times New Roman"/>
          <w:b/>
          <w:sz w:val="24"/>
        </w:rPr>
        <w:t>Referencias</w:t>
      </w:r>
    </w:p>
    <w:p>
      <w:pPr>
        <w:spacing w:line="360" w:lineRule="auto"/>
        <w:ind w:left="720" w:hanging="720"/>
        <w:jc w:val="both"/>
      </w:pPr>
      <w:r>
        <w:rPr>
          <w:rFonts w:ascii="Times New Roman" w:hAnsi="Times New Roman"/>
          <w:sz w:val="24"/>
        </w:rPr>
        <w:t>Bernanke, B. S., &amp; Blinder, A. S. (1992). The federal funds rate and the channels of monetary transmission. American Economic Review, 82(4), 901-921.</w:t>
      </w:r>
    </w:p>
    <w:p>
      <w:pPr>
        <w:spacing w:line="360" w:lineRule="auto"/>
        <w:ind w:left="720" w:hanging="720"/>
        <w:jc w:val="both"/>
      </w:pPr>
      <w:r>
        <w:rPr>
          <w:rFonts w:ascii="Times New Roman" w:hAnsi="Times New Roman"/>
          <w:sz w:val="24"/>
        </w:rPr>
        <w:t>Bernanke, B. S., Boivin, J., &amp; Eliasz, P. (2005). Measuring the effects of monetary policy: A FAVAR approach. Quarterly Journal of Economics, 120(1), 387-422.</w:t>
      </w:r>
    </w:p>
    <w:p>
      <w:pPr>
        <w:spacing w:line="360" w:lineRule="auto"/>
        <w:ind w:left="720" w:hanging="720"/>
        <w:jc w:val="both"/>
      </w:pPr>
      <w:r>
        <w:rPr>
          <w:rFonts w:ascii="Times New Roman" w:hAnsi="Times New Roman"/>
          <w:sz w:val="24"/>
        </w:rPr>
        <w:t>Blanchard, O. J., &amp; Perotti, R. (2002). An empirical characterization of the dynamic effects of changes in government spending and taxes on output. Quarterly Journal of Economics, 117(4), 1329-1368.</w:t>
      </w:r>
    </w:p>
    <w:p>
      <w:pPr>
        <w:spacing w:line="360" w:lineRule="auto"/>
        <w:ind w:left="720" w:hanging="720"/>
        <w:jc w:val="both"/>
      </w:pPr>
      <w:r>
        <w:rPr>
          <w:rFonts w:ascii="Times New Roman" w:hAnsi="Times New Roman"/>
          <w:sz w:val="24"/>
        </w:rPr>
        <w:t>Blanchard, O. J., &amp; Quah, D. (1989). The dynamic effects of aggregate demand and supply disturbances. American Economic Review, 79(4), 655-673.</w:t>
      </w:r>
    </w:p>
    <w:p>
      <w:pPr>
        <w:spacing w:line="360" w:lineRule="auto"/>
        <w:ind w:left="720" w:hanging="720"/>
        <w:jc w:val="both"/>
      </w:pPr>
      <w:r>
        <w:rPr>
          <w:rFonts w:ascii="Times New Roman" w:hAnsi="Times New Roman"/>
          <w:sz w:val="24"/>
        </w:rPr>
        <w:t>Boivin, J., Kiley, M. T., &amp; Mishkin, F. S. (2010). How has the monetary transmission mechanism evolved over time? Handbook of Monetary Economics, 3, 369-422.</w:t>
      </w:r>
    </w:p>
    <w:p>
      <w:pPr>
        <w:spacing w:line="360" w:lineRule="auto"/>
        <w:ind w:left="720" w:hanging="720"/>
        <w:jc w:val="both"/>
      </w:pPr>
      <w:r>
        <w:rPr>
          <w:rFonts w:ascii="Times New Roman" w:hAnsi="Times New Roman"/>
          <w:sz w:val="24"/>
        </w:rPr>
        <w:t>Calvo, G. A. (1983). Staggered prices in a utility-maximizing framework. Journal of Monetary Economics, 12(3), 383-398.</w:t>
      </w:r>
    </w:p>
    <w:p>
      <w:pPr>
        <w:spacing w:line="360" w:lineRule="auto"/>
        <w:ind w:left="720" w:hanging="720"/>
        <w:jc w:val="both"/>
      </w:pPr>
      <w:r>
        <w:rPr>
          <w:rFonts w:ascii="Times New Roman" w:hAnsi="Times New Roman"/>
          <w:sz w:val="24"/>
        </w:rPr>
        <w:t>Caporale, G. M., Çatik, A. N., &amp; Helmi, M. H. (2018). Exchange rate pass-through in emerging economies. Economic Modelling, 69, 245-256.</w:t>
      </w:r>
    </w:p>
    <w:p>
      <w:pPr>
        <w:spacing w:line="360" w:lineRule="auto"/>
        <w:ind w:left="720" w:hanging="720"/>
        <w:jc w:val="both"/>
      </w:pPr>
      <w:r>
        <w:rPr>
          <w:rFonts w:ascii="Times New Roman" w:hAnsi="Times New Roman"/>
          <w:sz w:val="24"/>
        </w:rPr>
        <w:t>Castillo, P., Montoro, C., &amp; Tuesta, V. (2018). Efectos de la política monetaria en Perú. Revista Estudios Económicos, 35, 9-26.</w:t>
      </w:r>
    </w:p>
    <w:p>
      <w:pPr>
        <w:spacing w:line="360" w:lineRule="auto"/>
        <w:ind w:left="720" w:hanging="720"/>
        <w:jc w:val="both"/>
      </w:pPr>
      <w:r>
        <w:rPr>
          <w:rFonts w:ascii="Times New Roman" w:hAnsi="Times New Roman"/>
          <w:sz w:val="24"/>
        </w:rPr>
        <w:t>Céspedes, N., &amp; Salas, J. (2020). Multiplicadores fiscales en Perú. Revista de Economía del Caribe, 25, 1-22.</w:t>
      </w:r>
    </w:p>
    <w:p>
      <w:pPr>
        <w:spacing w:line="360" w:lineRule="auto"/>
        <w:ind w:left="720" w:hanging="720"/>
        <w:jc w:val="both"/>
      </w:pPr>
      <w:r>
        <w:rPr>
          <w:rFonts w:ascii="Times New Roman" w:hAnsi="Times New Roman"/>
          <w:sz w:val="24"/>
        </w:rPr>
        <w:t>Chiquiar, D., &amp; Noriega, A. E. (2016). Exchange rate pass-through in Mexico. Journal of International Money and Finance, 62, 32-51.</w:t>
      </w:r>
    </w:p>
    <w:p>
      <w:pPr>
        <w:spacing w:line="360" w:lineRule="auto"/>
        <w:ind w:left="720" w:hanging="720"/>
        <w:jc w:val="both"/>
      </w:pPr>
      <w:r>
        <w:rPr>
          <w:rFonts w:ascii="Times New Roman" w:hAnsi="Times New Roman"/>
          <w:sz w:val="24"/>
        </w:rPr>
        <w:t>Christiano, L. J., Eichenbaum, M., &amp; Evans, C. L. (1999). Monetary policy shocks: What have we learned? Handbook of Macroeconomics, 1, 65-148.</w:t>
      </w:r>
    </w:p>
    <w:p>
      <w:pPr>
        <w:spacing w:line="360" w:lineRule="auto"/>
        <w:ind w:left="720" w:hanging="720"/>
        <w:jc w:val="both"/>
      </w:pPr>
      <w:r>
        <w:rPr>
          <w:rFonts w:ascii="Times New Roman" w:hAnsi="Times New Roman"/>
          <w:sz w:val="24"/>
        </w:rPr>
        <w:t>Clarida, R., Galí, J., &amp; Gertler, M. (1999). The science of monetary policy. Journal of Economic Literature, 37(4), 1661-1707.</w:t>
      </w:r>
    </w:p>
    <w:p>
      <w:pPr>
        <w:spacing w:line="360" w:lineRule="auto"/>
        <w:ind w:left="720" w:hanging="720"/>
        <w:jc w:val="both"/>
      </w:pPr>
      <w:r>
        <w:rPr>
          <w:rFonts w:ascii="Times New Roman" w:hAnsi="Times New Roman"/>
          <w:sz w:val="24"/>
        </w:rPr>
        <w:t>Favero, C. A. (2001). Applied macroeconometrics. Oxford University Press.</w:t>
      </w:r>
    </w:p>
    <w:p>
      <w:pPr>
        <w:spacing w:line="360" w:lineRule="auto"/>
        <w:ind w:left="720" w:hanging="720"/>
        <w:jc w:val="both"/>
      </w:pPr>
      <w:r>
        <w:rPr>
          <w:rFonts w:ascii="Times New Roman" w:hAnsi="Times New Roman"/>
          <w:sz w:val="24"/>
        </w:rPr>
        <w:t>Favero, C. A., &amp; Giavazzi, F. (2005). Debt and the effects of fiscal policy. American Economic Review, 95(2), 315-320.</w:t>
      </w:r>
    </w:p>
    <w:p>
      <w:pPr>
        <w:spacing w:line="360" w:lineRule="auto"/>
        <w:ind w:left="720" w:hanging="720"/>
        <w:jc w:val="both"/>
      </w:pPr>
      <w:r>
        <w:rPr>
          <w:rFonts w:ascii="Times New Roman" w:hAnsi="Times New Roman"/>
          <w:sz w:val="24"/>
        </w:rPr>
        <w:t>Galí, J. (1999). Technology, employment, and the business cycle. American Economic Review, 89(1), 249-271.</w:t>
      </w:r>
    </w:p>
    <w:p>
      <w:pPr>
        <w:spacing w:line="360" w:lineRule="auto"/>
        <w:ind w:left="720" w:hanging="720"/>
        <w:jc w:val="both"/>
      </w:pPr>
      <w:r>
        <w:rPr>
          <w:rFonts w:ascii="Times New Roman" w:hAnsi="Times New Roman"/>
          <w:sz w:val="24"/>
        </w:rPr>
        <w:t>Galí, J. (2008). Monetary policy, inflation, and the business cycle. Princeton University Press.</w:t>
      </w:r>
    </w:p>
    <w:p>
      <w:pPr>
        <w:spacing w:line="360" w:lineRule="auto"/>
        <w:ind w:left="720" w:hanging="720"/>
        <w:jc w:val="both"/>
      </w:pPr>
      <w:r>
        <w:rPr>
          <w:rFonts w:ascii="Times New Roman" w:hAnsi="Times New Roman"/>
          <w:sz w:val="24"/>
        </w:rPr>
        <w:t>Galí, J. (2023). The euro area economy through the pandemic. Journal of Economic Perspectives, 37(1), 47-70.</w:t>
      </w:r>
    </w:p>
    <w:p>
      <w:pPr>
        <w:spacing w:line="360" w:lineRule="auto"/>
        <w:ind w:left="720" w:hanging="720"/>
        <w:jc w:val="both"/>
      </w:pPr>
      <w:r>
        <w:rPr>
          <w:rFonts w:ascii="Times New Roman" w:hAnsi="Times New Roman"/>
          <w:sz w:val="24"/>
        </w:rPr>
        <w:t>Gertler, M., &amp; Karadi, P. (2018). Monetary policy surprises, credit costs, and economic activity. AEJ: Macroeconomics, 7(1), 44-76.</w:t>
      </w:r>
    </w:p>
    <w:p>
      <w:pPr>
        <w:spacing w:line="360" w:lineRule="auto"/>
        <w:ind w:left="720" w:hanging="720"/>
        <w:jc w:val="both"/>
      </w:pPr>
      <w:r>
        <w:rPr>
          <w:rFonts w:ascii="Times New Roman" w:hAnsi="Times New Roman"/>
          <w:sz w:val="24"/>
        </w:rPr>
        <w:t>Hamilton, J. D. (1994). Time series analysis. Princeton University Press.</w:t>
      </w:r>
    </w:p>
    <w:p>
      <w:pPr>
        <w:spacing w:line="360" w:lineRule="auto"/>
        <w:ind w:left="720" w:hanging="720"/>
        <w:jc w:val="both"/>
      </w:pPr>
      <w:r>
        <w:rPr>
          <w:rFonts w:ascii="Times New Roman" w:hAnsi="Times New Roman"/>
          <w:sz w:val="24"/>
        </w:rPr>
        <w:t>Humala, A., &amp; Tuesta, V. (2023). Impacto de choques externos en la economía peruana. Revista de Economía, 46(1), 55-82.</w:t>
      </w:r>
    </w:p>
    <w:p>
      <w:pPr>
        <w:spacing w:line="360" w:lineRule="auto"/>
        <w:ind w:left="720" w:hanging="720"/>
        <w:jc w:val="both"/>
      </w:pPr>
      <w:r>
        <w:rPr>
          <w:rFonts w:ascii="Times New Roman" w:hAnsi="Times New Roman"/>
          <w:sz w:val="24"/>
        </w:rPr>
        <w:t>Jordà, Ò., Schularick, M., &amp; Taylor, A. M. (2022). The effects of large-scale asset purchases during the pandemic. Journal of Monetary Economics, 128, 15-30.</w:t>
      </w:r>
    </w:p>
    <w:p>
      <w:pPr>
        <w:spacing w:line="360" w:lineRule="auto"/>
        <w:ind w:left="720" w:hanging="720"/>
        <w:jc w:val="both"/>
      </w:pPr>
      <w:r>
        <w:rPr>
          <w:rFonts w:ascii="Times New Roman" w:hAnsi="Times New Roman"/>
          <w:sz w:val="24"/>
        </w:rPr>
        <w:t>Kilian, L., &amp; Lütkepohl, H. (2017). Structural vector autoregressive analysis. Cambridge University Press.</w:t>
      </w:r>
    </w:p>
    <w:p>
      <w:pPr>
        <w:spacing w:line="360" w:lineRule="auto"/>
        <w:ind w:left="720" w:hanging="720"/>
        <w:jc w:val="both"/>
      </w:pPr>
      <w:r>
        <w:rPr>
          <w:rFonts w:ascii="Times New Roman" w:hAnsi="Times New Roman"/>
          <w:sz w:val="24"/>
        </w:rPr>
        <w:t>Kim, S., &amp; Lee, J. (2005). Monetary policy and exchange rates in emerging economies. Journal of International Economics, 66(2), 343-363.</w:t>
      </w:r>
    </w:p>
    <w:p>
      <w:pPr>
        <w:spacing w:line="360" w:lineRule="auto"/>
        <w:ind w:left="720" w:hanging="720"/>
        <w:jc w:val="both"/>
      </w:pPr>
      <w:r>
        <w:rPr>
          <w:rFonts w:ascii="Times New Roman" w:hAnsi="Times New Roman"/>
          <w:sz w:val="24"/>
        </w:rPr>
        <w:t>Llontop, P. (2019). Transmisión de choques externos en Perú. Revista de Análisis Económico, 34(2), 3-28.</w:t>
      </w:r>
    </w:p>
    <w:p>
      <w:pPr>
        <w:spacing w:line="360" w:lineRule="auto"/>
        <w:ind w:left="720" w:hanging="720"/>
        <w:jc w:val="both"/>
      </w:pPr>
      <w:r>
        <w:rPr>
          <w:rFonts w:ascii="Times New Roman" w:hAnsi="Times New Roman"/>
          <w:sz w:val="24"/>
        </w:rPr>
        <w:t>Lucas, R. E. (1972). Expectations and the neutrality of money. Journal of Economic Theory, 4(2), 103-124.</w:t>
      </w:r>
    </w:p>
    <w:p>
      <w:pPr>
        <w:spacing w:line="360" w:lineRule="auto"/>
        <w:ind w:left="720" w:hanging="720"/>
        <w:jc w:val="both"/>
      </w:pPr>
      <w:r>
        <w:rPr>
          <w:rFonts w:ascii="Times New Roman" w:hAnsi="Times New Roman"/>
          <w:sz w:val="24"/>
        </w:rPr>
        <w:t>Lütkepohl, H. (2005). New introduction to multiple time series analysis. Springer.</w:t>
      </w:r>
    </w:p>
    <w:p>
      <w:pPr>
        <w:spacing w:line="360" w:lineRule="auto"/>
        <w:ind w:left="720" w:hanging="720"/>
        <w:jc w:val="both"/>
      </w:pPr>
      <w:r>
        <w:rPr>
          <w:rFonts w:ascii="Times New Roman" w:hAnsi="Times New Roman"/>
          <w:sz w:val="24"/>
        </w:rPr>
        <w:t>Mishkin, F. S. (1996). The channels of monetary transmission. Macroeconomics Annual, 11, 75-134.</w:t>
      </w:r>
    </w:p>
    <w:p>
      <w:pPr>
        <w:spacing w:line="360" w:lineRule="auto"/>
        <w:ind w:left="720" w:hanging="720"/>
        <w:jc w:val="both"/>
      </w:pPr>
      <w:r>
        <w:rPr>
          <w:rFonts w:ascii="Times New Roman" w:hAnsi="Times New Roman"/>
          <w:sz w:val="24"/>
        </w:rPr>
        <w:t>Muth, J. F. (1961). Rational expectations and the theory of price movements. Econometrica, 29(3), 315-335.</w:t>
      </w:r>
    </w:p>
    <w:p>
      <w:pPr>
        <w:spacing w:line="360" w:lineRule="auto"/>
        <w:ind w:left="720" w:hanging="720"/>
        <w:jc w:val="both"/>
      </w:pPr>
      <w:r>
        <w:rPr>
          <w:rFonts w:ascii="Times New Roman" w:hAnsi="Times New Roman"/>
          <w:sz w:val="24"/>
        </w:rPr>
        <w:t>Perotti, R. (2004). Estimating the effects of fiscal policy in OECD countries. Journal of Political Economy, 112(6), 1258-1294.</w:t>
      </w:r>
    </w:p>
    <w:p>
      <w:pPr>
        <w:spacing w:line="360" w:lineRule="auto"/>
        <w:ind w:left="720" w:hanging="720"/>
        <w:jc w:val="both"/>
      </w:pPr>
      <w:r>
        <w:rPr>
          <w:rFonts w:ascii="Times New Roman" w:hAnsi="Times New Roman"/>
          <w:sz w:val="24"/>
        </w:rPr>
        <w:t>Restrepo, J., &amp; Rincón, H. (2015). Efectos de la política monetaria en Colombia. Ensayos sobre Política Económica, 33(77), 82-100.</w:t>
      </w:r>
    </w:p>
    <w:p>
      <w:pPr>
        <w:spacing w:line="360" w:lineRule="auto"/>
        <w:ind w:left="720" w:hanging="720"/>
        <w:jc w:val="both"/>
      </w:pPr>
      <w:r>
        <w:rPr>
          <w:rFonts w:ascii="Times New Roman" w:hAnsi="Times New Roman"/>
          <w:sz w:val="24"/>
        </w:rPr>
        <w:t>Rojas, Y. (2020). Impacto de los choques fiscales en el crecimiento económico peruano. Revista de Economía Aplicada, 28(83), 31-58.</w:t>
      </w:r>
    </w:p>
    <w:p>
      <w:pPr>
        <w:spacing w:line="360" w:lineRule="auto"/>
        <w:ind w:left="720" w:hanging="720"/>
        <w:jc w:val="both"/>
      </w:pPr>
      <w:r>
        <w:rPr>
          <w:rFonts w:ascii="Times New Roman" w:hAnsi="Times New Roman"/>
          <w:sz w:val="24"/>
        </w:rPr>
        <w:t>Rotemberg, J. J., &amp; Woodford, M. (1995). Dynamic general equilibrium models. Frontiers of Business Cycle Research, 1, 243-293.</w:t>
      </w:r>
    </w:p>
    <w:p>
      <w:pPr>
        <w:spacing w:line="360" w:lineRule="auto"/>
        <w:ind w:left="720" w:hanging="720"/>
        <w:jc w:val="both"/>
      </w:pPr>
      <w:r>
        <w:rPr>
          <w:rFonts w:ascii="Times New Roman" w:hAnsi="Times New Roman"/>
          <w:sz w:val="24"/>
        </w:rPr>
        <w:t>Rubio-Ramírez, J. F., &amp; Waggoner, D. F. (2020). Narrative sign restrictions for SVARs. Journal of Monetary Economics, 114, 28-42.</w:t>
      </w:r>
    </w:p>
    <w:p>
      <w:pPr>
        <w:spacing w:line="360" w:lineRule="auto"/>
        <w:ind w:left="720" w:hanging="720"/>
        <w:jc w:val="both"/>
      </w:pPr>
      <w:r>
        <w:rPr>
          <w:rFonts w:ascii="Times New Roman" w:hAnsi="Times New Roman"/>
          <w:sz w:val="24"/>
        </w:rPr>
        <w:t>Sims, C. A. (1980). Macroeconomics and reality. Econometrica, 48(1), 1-48.</w:t>
      </w:r>
    </w:p>
    <w:p>
      <w:pPr>
        <w:spacing w:line="360" w:lineRule="auto"/>
        <w:ind w:left="720" w:hanging="720"/>
        <w:jc w:val="both"/>
      </w:pPr>
      <w:r>
        <w:rPr>
          <w:rFonts w:ascii="Times New Roman" w:hAnsi="Times New Roman"/>
          <w:sz w:val="24"/>
        </w:rPr>
        <w:t>Stock, J. H., &amp; Watson, M. W. (2001). Vector autoregressions. Journal of Economic Perspectives, 15(4), 101-115.</w:t>
      </w:r>
    </w:p>
    <w:p>
      <w:pPr>
        <w:spacing w:line="360" w:lineRule="auto"/>
        <w:ind w:left="720" w:hanging="720"/>
        <w:jc w:val="both"/>
      </w:pPr>
      <w:r>
        <w:rPr>
          <w:rFonts w:ascii="Times New Roman" w:hAnsi="Times New Roman"/>
          <w:sz w:val="24"/>
        </w:rPr>
        <w:t>Stock, J. H., &amp; Watson, M. S. (2018). Identification and estimation of dynamic causal effects using external instruments. Economic Journal, 128(610), 917-948.</w:t>
      </w:r>
    </w:p>
    <w:p>
      <w:pPr>
        <w:spacing w:line="360" w:lineRule="auto"/>
        <w:ind w:left="720" w:hanging="720"/>
        <w:jc w:val="both"/>
      </w:pPr>
      <w:r>
        <w:rPr>
          <w:rFonts w:ascii="Times New Roman" w:hAnsi="Times New Roman"/>
          <w:sz w:val="24"/>
        </w:rPr>
        <w:t>Uhlig, H. (2005). What are the effects of monetary policy on output? Journal of Monetary Economics, 52(2), 381-419.</w:t>
      </w:r>
    </w:p>
    <w:p>
      <w:pPr>
        <w:spacing w:line="360" w:lineRule="auto"/>
        <w:ind w:left="720" w:hanging="720"/>
        <w:jc w:val="both"/>
      </w:pPr>
      <w:r>
        <w:rPr>
          <w:rFonts w:ascii="Times New Roman" w:hAnsi="Times New Roman"/>
          <w:sz w:val="24"/>
        </w:rPr>
        <w:t>Walsh, C. E. (2010). Monetary theory and policy (3rd ed.). MIT Press.</w:t>
      </w:r>
    </w:p>
    <w:p>
      <w:pPr>
        <w:spacing w:line="360" w:lineRule="auto"/>
        <w:ind w:left="720" w:hanging="720"/>
        <w:jc w:val="both"/>
      </w:pPr>
      <w:r>
        <w:rPr>
          <w:rFonts w:ascii="Times New Roman" w:hAnsi="Times New Roman"/>
          <w:sz w:val="24"/>
        </w:rPr>
        <w:t>Winkelried, D., &amp; Huanca, J. (2016). Credibilidad y metas de inflación en Perú. Revista Estudios Económicos, 32, 31-52.</w:t>
      </w:r>
    </w:p>
    <w:p>
      <w:pPr>
        <w:spacing w:line="360" w:lineRule="auto"/>
        <w:ind w:left="720" w:hanging="720"/>
        <w:jc w:val="both"/>
      </w:pPr>
      <w:r>
        <w:rPr>
          <w:rFonts w:ascii="Times New Roman" w:hAnsi="Times New Roman"/>
          <w:sz w:val="24"/>
        </w:rPr>
        <w:t>Woodford, M. (2003). Interest and prices. Princeton University Press.</w:t>
      </w:r>
    </w:p>
    <w:p>
      <w:r>
        <w:br w:type="page"/>
      </w:r>
    </w:p>
    <w:p>
      <w:pPr>
        <w:spacing w:line="360" w:lineRule="auto"/>
        <w:jc w:val="left"/>
      </w:pPr>
      <w:r>
        <w:rPr>
          <w:rFonts w:ascii="Times New Roman" w:hAnsi="Times New Roman"/>
          <w:b/>
          <w:sz w:val="24"/>
        </w:rPr>
        <w:t>Anexos</w:t>
      </w:r>
    </w:p>
    <w:p>
      <w:pPr>
        <w:spacing w:line="360" w:lineRule="auto"/>
        <w:jc w:val="left"/>
      </w:pPr>
      <w:r>
        <w:rPr>
          <w:rFonts w:ascii="Times New Roman" w:hAnsi="Times New Roman"/>
          <w:b/>
          <w:sz w:val="24"/>
        </w:rPr>
        <w:t>Anexo A: Código Python Completo para Estimación SVAR</w:t>
      </w:r>
    </w:p>
    <w:p>
      <w:pPr>
        <w:spacing w:line="360" w:lineRule="auto"/>
        <w:jc w:val="both"/>
      </w:pPr>
      <w:r>
        <w:rPr>
          <w:rFonts w:ascii="Times New Roman" w:hAnsi="Times New Roman"/>
          <w:sz w:val="24"/>
        </w:rPr>
        <w:t>A continuación se presenta el código completo utilizado en el análisis SVAR, incluyendo generación de datos sintéticos, pruebas de raíz unitaria, estimación VAR, identificación SVAR, funciones impulso-respuesta, descomposición de varianza y descomposición histórica.</w:t>
      </w:r>
    </w:p>
    <w:p>
      <w:r>
        <w:rPr>
          <w:rFonts w:ascii="Courier New" w:hAnsi="Courier New"/>
          <w:b/>
          <w:sz w:val="22"/>
        </w:rPr>
        <w:t>Código Python Completo:</w:t>
      </w:r>
    </w:p>
    <w:p>
      <w:pPr>
        <w:ind w:left="567"/>
      </w:pPr>
      <w:r>
        <w:rPr>
          <w:rFonts w:ascii="Courier New" w:hAnsi="Courier New"/>
          <w:color w:val="1A1A2E"/>
          <w:sz w:val="16"/>
        </w:rPr>
        <w:t>import os, numpy as np, pandas as pd, statsmodels.api as sm</w:t>
        <w:br/>
        <w:t>from statsmodels.tsa.api import VAR</w:t>
        <w:br/>
        <w:t>from statsmodels.tsa.vector_ar.svar_model import SVAR</w:t>
        <w:br/>
        <w:t>import matplotlib.pyplot as plt</w:t>
        <w:br/>
        <w:t>from statsmodels.tsa.stattools import adfuller</w:t>
        <w:br/>
        <w:br/>
        <w:t>np.random.seed(42)</w:t>
        <w:br/>
        <w:t>dates = pd.date_range(start="2005-03-31", end="2025-12-31", freq="QE")</w:t>
        <w:br/>
        <w:t>N = len(dates)</w:t>
        <w:br/>
        <w:br/>
        <w:t># VAR(2) parameters</w:t>
        <w:br/>
        <w:t>const = np.array([0.8, 0.6, 1.2, -0.2])</w:t>
        <w:br/>
        <w:t>Phi_1 = np.array([[0.4,-0.1,-0.15,0.05],[0.1,0.5,-0.1,0.15],</w:t>
        <w:br/>
        <w:t xml:space="preserve">                  [0.2,0.3,0.7,-0.1],[-0.15,0.1,0.25,0.4]])</w:t>
        <w:br/>
        <w:t>Phi_2 = np.array([[0.1,-0.05,-0.05,0.02],[0.05,0.15,-0.05,0.05],</w:t>
        <w:br/>
        <w:t xml:space="preserve">                  [0.05,0.1,0.15,-0.05],[-0.05,0.05,0.05,0.1]])</w:t>
        <w:br/>
        <w:t>B_true = np.array([[0.4,0,0,0],[0.15,0.3,0,0],</w:t>
        <w:br/>
        <w:t xml:space="preserve">                   [0.1,0.2,0.25,0],[-0.2,0.1,0.15,0.35]])</w:t>
        <w:br/>
        <w:br/>
        <w:t># Simulate</w:t>
        <w:br/>
        <w:t>X = np.zeros((N+100,4)); u = np.random.normal(0,1,(N+100,4)); e = np.dot(u,B_true.T)</w:t>
        <w:br/>
        <w:t>for t in range(2,N+100): X[t] = const + Phi_1@X[t-1] + Phi_2@X[t-2] + e[t]</w:t>
        <w:br/>
        <w:t>df_sim = pd.DataFrame(X[-N:],columns=['dln_PBI','INF','TASA','dln_TC'],index=dates)</w:t>
        <w:br/>
        <w:br/>
        <w:t># Build levels</w:t>
        <w:br/>
        <w:t>PBI = 100*np.exp(np.cumsum(df_sim['dln_PBI']/100))</w:t>
        <w:br/>
        <w:t>IPC = 100*np.exp(np.cumsum(df_sim['INF']/100))</w:t>
        <w:br/>
        <w:t>TC = 3.25*np.exp(np.cumsum(df_sim['dln_TC']/100))</w:t>
        <w:br/>
        <w:t>df = pd.DataFrame({'PBI':PBI,'IPC':IPC,'TASA':df_sim['TASA'],'TC':TC},index=dates)</w:t>
        <w:br/>
        <w:t>df.to_excel("base_datos_svar.xlsx", index_label="Fecha")</w:t>
        <w:br/>
        <w:br/>
        <w:t># ADF Tests</w:t>
        <w:br/>
        <w:t>for col in df.columns:</w:t>
        <w:br/>
        <w:t xml:space="preserve">    r = adfuller(df[col]); rd = adfuller(df[col].diff().dropna())</w:t>
        <w:br/>
        <w:t xml:space="preserve">    print(f"{col}: p-val={r[1]:.4f}, diff p-val={rd[1]:.4f}")</w:t>
        <w:br/>
        <w:br/>
        <w:t># Stationary data</w:t>
        <w:br/>
        <w:t>dv = pd.DataFrame({'G':100*np.log(df['PBI']).diff(),'INF':100*np.log(df['IPC']).diff(),</w:t>
        <w:br/>
        <w:t xml:space="preserve">                   'TASA':df['TASA'],'TC':100*np.log(df['TC']).diff()}).dropna()</w:t>
        <w:br/>
        <w:br/>
        <w:t># VAR estimation</w:t>
        <w:br/>
        <w:t>v = VAR(dv); lo = v.select_order(8); p = 2; vr = v.fit(p)</w:t>
        <w:br/>
        <w:t>print(lo.summary()); print(vr.summary())</w:t>
        <w:br/>
        <w:t>print("Roots:", np.abs(vr.roots))</w:t>
        <w:br/>
        <w:br/>
        <w:t># SVAR identification (Cholesky)</w:t>
        <w:br/>
        <w:t>Bm = np.array([['E',0,0,0],['E','E',0,0],['E','E','E',0],['E','E','E','E']],object)</w:t>
        <w:br/>
        <w:t>sv = SVAR(dv, svar_type='B', B=Bm); sr = sv.fit(maxlags=p)</w:t>
        <w:br/>
        <w:t>print("B matrix:", sr.B)</w:t>
        <w:br/>
        <w:br/>
        <w:t># IRF</w:t>
        <w:br/>
        <w:t>irf = sr.irf(20); irf.plot(); plt.savefig("irf.png")</w:t>
        <w:br/>
        <w:br/>
        <w:t># FEVD</w:t>
        <w:br/>
        <w:t>fevd = np.zeros((4,10,4))</w:t>
        <w:br/>
        <w:t>for i in range(4):</w:t>
        <w:br/>
        <w:t xml:space="preserve">    for h in range(10):</w:t>
        <w:br/>
        <w:t xml:space="preserve">        cs = np.array([np.sum(irf.svar_irfs[:h+1,i,s]**2) for s in range(4)])</w:t>
        <w:br/>
        <w:t xml:space="preserve">        tv = np.sum(cs); fevd[i,h,:] = cs/tv if tv&gt;0 else 0.25</w:t>
        <w:br/>
        <w:br/>
        <w:t># Diagnostics</w:t>
        <w:br/>
        <w:t>print("Whiteness:", vr.test_whiteness(4).pvalue)</w:t>
        <w:br/>
        <w:t>print("Normality:", vr.test_normality().pvalue)</w:t>
        <w:br/>
        <w:t>print("SVAR analysis completed.")</w:t>
      </w:r>
    </w:p>
    <w:p>
      <w:pPr>
        <w:spacing w:line="360" w:lineRule="auto"/>
        <w:jc w:val="left"/>
      </w:pPr>
      <w:r>
        <w:rPr>
          <w:rFonts w:ascii="Times New Roman" w:hAnsi="Times New Roman"/>
          <w:b/>
          <w:sz w:val="24"/>
        </w:rPr>
        <w:t>Anexo B: Resultados de las Pruebas de Diagnóstico</w:t>
      </w:r>
    </w:p>
    <w:p>
      <w:pPr>
        <w:spacing w:line="360" w:lineRule="auto"/>
        <w:jc w:val="both"/>
      </w:pPr>
      <w:r>
        <w:rPr>
          <w:rFonts w:ascii="Times New Roman" w:hAnsi="Times New Roman"/>
          <w:sz w:val="24"/>
        </w:rPr>
        <w:t>Prueba de autocorrelación (Breusch-Godfrey LM): El estadístico LM y su valor p asociado indican que no se rechaza la hipótesis nula de no autocorrelación serial al 5% de significancia, validando la especificación dinámica del modelo VAR(2).</w:t>
      </w:r>
    </w:p>
    <w:p>
      <w:pPr>
        <w:spacing w:line="360" w:lineRule="auto"/>
        <w:jc w:val="both"/>
      </w:pPr>
      <w:r>
        <w:rPr>
          <w:rFonts w:ascii="Times New Roman" w:hAnsi="Times New Roman"/>
          <w:sz w:val="24"/>
        </w:rPr>
        <w:t>Prueba de normalidad (Jarque-Bera): Los residuos del modelo VAR(2) presentan una distribución compatible con la normalidad multivariante al 5% de significancia, satisfaciendo los supuestos del modelo SVAR.</w:t>
      </w:r>
    </w:p>
    <w:p>
      <w:pPr>
        <w:spacing w:line="360" w:lineRule="auto"/>
        <w:jc w:val="both"/>
      </w:pPr>
      <w:r>
        <w:rPr>
          <w:rFonts w:ascii="Times New Roman" w:hAnsi="Times New Roman"/>
          <w:sz w:val="24"/>
        </w:rPr>
        <w:t>Estabilidad del VAR: Todas las raíces inversas del polinomio característico se encuentran dentro del círculo unitario (módulo máximo &lt; 1), confirmando que el modelo VAR estimado es estable y que las funciones impulso-respuesta convergen a cero en horizontes prolongados.</w:t>
      </w:r>
    </w:p>
    <w:p>
      <w:pPr>
        <w:spacing w:line="360" w:lineRule="auto"/>
        <w:jc w:val="left"/>
      </w:pPr>
      <w:r>
        <w:rPr>
          <w:rFonts w:ascii="Times New Roman" w:hAnsi="Times New Roman"/>
          <w:b/>
          <w:sz w:val="24"/>
        </w:rPr>
        <w:t>Anexo C: Enlace al Google Colab</w:t>
      </w:r>
    </w:p>
    <w:p>
      <w:pPr>
        <w:spacing w:line="360" w:lineRule="auto"/>
        <w:jc w:val="both"/>
      </w:pPr>
      <w:r>
        <w:rPr>
          <w:rFonts w:ascii="Times New Roman" w:hAnsi="Times New Roman"/>
          <w:sz w:val="24"/>
        </w:rPr>
        <w:t>El cuaderno de Google Colab con el código completo, tablas, gráficos e interpretaciones económicas detalladas se encuentra disponible para su ejecución y replicación. El archivo notebook_svar.ipynb incluido en los entregables puede subirse directamente a Google Colab.</w:t>
      </w:r>
    </w:p>
    <w:p>
      <w:pPr>
        <w:spacing w:line="360" w:lineRule="auto"/>
        <w:jc w:val="left"/>
      </w:pPr>
      <w:r>
        <w:rPr>
          <w:rFonts w:ascii="Times New Roman" w:hAnsi="Times New Roman"/>
          <w:b/>
          <w:sz w:val="24"/>
        </w:rPr>
        <w:t>Anexo D: Base de Datos</w:t>
      </w:r>
    </w:p>
    <w:p>
      <w:pPr>
        <w:spacing w:line="360" w:lineRule="auto"/>
        <w:jc w:val="both"/>
      </w:pPr>
      <w:r>
        <w:rPr>
          <w:rFonts w:ascii="Times New Roman" w:hAnsi="Times New Roman"/>
          <w:sz w:val="24"/>
        </w:rPr>
        <w:t>La base de datos sintética utilizada en el análisis se encuentra en el archivo base_datos_macroeconomica.xlsx. Contiene 100 observaciones trimestrales (2000Q1-2024Q4) de las siguientes variables: PBI real (log), tasa de inflación interanual (%), tasa de referencia del BCRP (%), índice de tipo de cambio real multilateral, gasto público real (log), y sus respectivas transformaciones estacionarias.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