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240" w:lineRule="auto" w:after="120"/>
        <w:jc w:val="center"/>
      </w:pPr>
      <w:r>
        <w:rPr>
          <w:rFonts w:ascii="Times New Roman" w:hAnsi="Times New Roman"/>
          <w:rFonts w:ascii="Times New Roman" w:hAnsi="Times New Roman"/>
          <w:b/>
          <w:sz w:val="28"/>
        </w:rPr>
        <w:t>UNIVERSIDAD NACIONAL DEL ALTIPLANO</w:t>
      </w:r>
    </w:p>
    <w:p>
      <w:pPr>
        <w:spacing w:line="240" w:lineRule="auto" w:after="120"/>
        <w:jc w:val="center"/>
      </w:pPr>
      <w:r>
        <w:rPr>
          <w:rFonts w:ascii="Times New Roman" w:hAnsi="Times New Roman"/>
          <w:rFonts w:ascii="Times New Roman" w:hAnsi="Times New Roman"/>
          <w:b/>
          <w:sz w:val="28"/>
        </w:rPr>
        <w:t>FACULTAD DE INGENIERÍA ECONÓMICA</w:t>
      </w:r>
    </w:p>
    <w:p>
      <w:pPr>
        <w:spacing w:line="240" w:lineRule="auto" w:after="120"/>
        <w:jc w:val="center"/>
      </w:pPr>
      <w:r>
        <w:rPr>
          <w:rFonts w:ascii="Times New Roman" w:hAnsi="Times New Roman"/>
          <w:rFonts w:ascii="Times New Roman" w:hAnsi="Times New Roman"/>
          <w:b/>
          <w:sz w:val="24"/>
        </w:rPr>
        <w:t>ESCUELA PROFESIONAL DE INGENIERÍA ECONÓMICA</w:t>
      </w:r>
    </w:p>
    <w:p/>
    <w:p>
      <w:pPr>
        <w:spacing w:line="240" w:lineRule="auto" w:after="120"/>
        <w:jc w:val="center"/>
      </w:pPr>
      <w:r>
        <w:rPr>
          <w:rFonts w:ascii="Times New Roman" w:hAnsi="Times New Roman"/>
          <w:rFonts w:ascii="Times New Roman" w:hAnsi="Times New Roman"/>
          <w:b/>
          <w:sz w:val="26"/>
        </w:rPr>
        <w:t>CURSO: ECONOMETRÍA III</w:t>
      </w:r>
    </w:p>
    <w:p/>
    <w:p>
      <w:pPr>
        <w:spacing w:line="240" w:lineRule="auto" w:after="120"/>
        <w:jc w:val="center"/>
      </w:pPr>
      <w:r>
        <w:rPr>
          <w:rFonts w:ascii="Times New Roman" w:hAnsi="Times New Roman"/>
          <w:rFonts w:ascii="Times New Roman" w:hAnsi="Times New Roman"/>
          <w:b/>
          <w:sz w:val="32"/>
        </w:rPr>
        <w:t>ARTÍCULO CIENTÍFICO</w:t>
      </w:r>
    </w:p>
    <w:p>
      <w:pPr>
        <w:spacing w:line="240" w:lineRule="auto" w:after="120"/>
        <w:jc w:val="center"/>
      </w:pPr>
      <w:r>
        <w:rPr>
          <w:rFonts w:ascii="Times New Roman" w:hAnsi="Times New Roman"/>
          <w:rFonts w:ascii="Times New Roman" w:hAnsi="Times New Roman"/>
          <w:b/>
          <w:sz w:val="28"/>
        </w:rPr>
        <w:t>Impacto de los choques macroeconómicos sobre la actividad económica peruana:</w:t>
      </w:r>
    </w:p>
    <w:p>
      <w:pPr>
        <w:spacing w:line="240" w:lineRule="auto" w:after="120"/>
        <w:jc w:val="center"/>
      </w:pPr>
      <w:r>
        <w:rPr>
          <w:rFonts w:ascii="Times New Roman" w:hAnsi="Times New Roman"/>
          <w:rFonts w:ascii="Times New Roman" w:hAnsi="Times New Roman"/>
          <w:b/>
          <w:sz w:val="28"/>
        </w:rPr>
        <w:t>Un análisis SVAR con datos sintéticos (2015-2024)</w:t>
      </w:r>
    </w:p>
    <w:p/>
    <w:p>
      <w:pPr>
        <w:spacing w:line="240" w:lineRule="auto" w:after="120"/>
        <w:jc w:val="center"/>
      </w:pPr>
      <w:r>
        <w:rPr>
          <w:rFonts w:ascii="Times New Roman" w:hAnsi="Times New Roman"/>
          <w:rFonts w:ascii="Times New Roman" w:hAnsi="Times New Roman"/>
          <w:b w:val="0"/>
          <w:sz w:val="24"/>
        </w:rPr>
        <w:t>Docente: [Nombre del docente]</w:t>
      </w:r>
    </w:p>
    <w:p/>
    <w:p>
      <w:pPr>
        <w:spacing w:line="240" w:lineRule="auto" w:after="120"/>
        <w:jc w:val="center"/>
      </w:pPr>
      <w:r>
        <w:rPr>
          <w:rFonts w:ascii="Times New Roman" w:hAnsi="Times New Roman"/>
          <w:rFonts w:ascii="Times New Roman" w:hAnsi="Times New Roman"/>
          <w:b w:val="0"/>
          <w:sz w:val="24"/>
        </w:rPr>
        <w:t>2025</w:t>
      </w:r>
    </w:p>
    <w:p>
      <w:r>
        <w:br w:type="page"/>
      </w:r>
    </w:p>
    <w:p>
      <w:pPr>
        <w:spacing w:before="240" w:after="120" w:line="240" w:lineRule="auto"/>
        <w:jc w:val="left"/>
      </w:pPr>
      <w:r>
        <w:rPr>
          <w:rFonts w:ascii="Times New Roman" w:hAnsi="Times New Roman"/>
          <w:rFonts w:ascii="Times New Roman" w:hAnsi="Times New Roman"/>
          <w:b/>
          <w:sz w:val="28"/>
        </w:rPr>
        <w:t>Resumen</w:t>
      </w:r>
    </w:p>
    <w:p>
      <w:pPr>
        <w:spacing w:line="240" w:lineRule="auto" w:after="120"/>
        <w:ind w:firstLine="720"/>
        <w:jc w:val="both"/>
      </w:pPr>
      <w:r>
        <w:rPr>
          <w:rFonts w:ascii="Times New Roman" w:hAnsi="Times New Roman"/>
          <w:rFonts w:ascii="Times New Roman" w:hAnsi="Times New Roman"/>
          <w:b w:val="0"/>
          <w:i w:val="0"/>
          <w:sz w:val="24"/>
        </w:rPr>
        <w:t>El presente estudio analiza el impacto de los choques macroeconómicos sobre la actividad económica peruana mediante un modelo de vectores autorregresivos estructurales (SVAR) con datos sintéticos mensuales para el período 2015-2024. Se emplearon seis variables macroeconómicas: Producto Bruto Interno (PIB), tasa de inflación, tipo de cambio nominal, tasa de interés de referencia, oferta monetaria y gasto público. La identificación de los choques estructurales se realizó mediante una descomposición de Cholesky con un ordenamiento recursivo basado en fundamentos teóricos keynesianos y monetaristas. Los resultados de las funciones impulso-respuesta revelan que los choques de gasto público generan un efecto positivo y persistente sobre el PIB, consistente con la teoría fiscal keynesiana, mientras que los choques de tasa de interés muestran un efecto contractivo sobre la actividad económica, coherente con el mecanismo de transmisión de la política monetaria. La descomposición de varianza del error de pronóstico indica que el gasto público y la oferta monetaria explican conjuntamente aproximadamente el 45% de la variabilidad del PIB en horizontes de 12 meses. La descomposición histórica evidencia que los choques de política económica tuvieron una contribución significativa en las fluctuaciones del PIB durante el período analizado. Estos hallazgos, aunque basados en datos simulados con fines académicos, demuestran la aplicabilidad y relevancia del enfoque SVAR para el análisis de la dinámica macroeconómica y la formulación de políticas económicas.</w:t>
      </w:r>
    </w:p>
    <w:p>
      <w:pPr>
        <w:spacing w:line="240" w:lineRule="auto" w:after="120"/>
        <w:ind w:firstLine="720"/>
        <w:jc w:val="both"/>
      </w:pPr>
      <w:r>
        <w:rPr>
          <w:rFonts w:ascii="Times New Roman" w:hAnsi="Times New Roman"/>
          <w:rFonts w:ascii="Times New Roman" w:hAnsi="Times New Roman"/>
          <w:b w:val="0"/>
          <w:i w:val="0"/>
          <w:sz w:val="24"/>
        </w:rPr>
        <w:t>Palabras clave: VAR estructural, SVAR, choques macroeconómicos, funciones impulso-respuesta, descomposición de varianza, política económica.</w:t>
      </w:r>
    </w:p>
    <w:p>
      <w:pPr>
        <w:spacing w:before="240" w:after="120" w:line="240" w:lineRule="auto"/>
        <w:jc w:val="left"/>
      </w:pPr>
      <w:r>
        <w:rPr>
          <w:rFonts w:ascii="Times New Roman" w:hAnsi="Times New Roman"/>
          <w:rFonts w:ascii="Times New Roman" w:hAnsi="Times New Roman"/>
          <w:b/>
          <w:sz w:val="28"/>
        </w:rPr>
        <w:t>Abstract</w:t>
      </w:r>
    </w:p>
    <w:p>
      <w:pPr>
        <w:spacing w:line="240" w:lineRule="auto" w:after="120"/>
        <w:ind w:firstLine="720"/>
        <w:jc w:val="both"/>
      </w:pPr>
      <w:r>
        <w:rPr>
          <w:rFonts w:ascii="Times New Roman" w:hAnsi="Times New Roman"/>
          <w:rFonts w:ascii="Times New Roman" w:hAnsi="Times New Roman"/>
          <w:b w:val="0"/>
          <w:i w:val="0"/>
          <w:sz w:val="24"/>
        </w:rPr>
        <w:t>This study analyzes the impact of macroeconomic shocks on Peruvian economic activity using a structural vector autoregressive (SVAR) model with synthetic monthly data for the period 2015-2024. Six macroeconomic variables were employed: Gross Domestic Product (GDP), inflation rate, nominal exchange rate, reference interest rate, money supply, and government spending. The identification of structural shocks was performed using a Cholesky decomposition with a recursive ordering based on Keynesian and monetarist theoretical foundations. The impulse-response functions reveal that government spending shocks generate a positive and persistent effect on GDP, consistent with Keynesian fiscal theory, while interest rate shocks show a contractionary effect on economic activity, coherent with the monetary policy transmission mechanism. The forecast error variance decomposition indicates that government spending and money supply jointly explain approximately 45% of GDP variability in 12-month horizons. The historical decomposition shows that economic policy shocks had a significant contribution to GDP fluctuations during the analyzed period. These findings, although based on simulated data for academic purposes, demonstrate the applicability and relevance of the SVAR approach for macroeconomic dynamics analysis and economic policy formulation.</w:t>
      </w:r>
    </w:p>
    <w:p>
      <w:pPr>
        <w:spacing w:line="240" w:lineRule="auto" w:after="120"/>
        <w:ind w:firstLine="720"/>
        <w:jc w:val="both"/>
      </w:pPr>
      <w:r>
        <w:rPr>
          <w:rFonts w:ascii="Times New Roman" w:hAnsi="Times New Roman"/>
          <w:rFonts w:ascii="Times New Roman" w:hAnsi="Times New Roman"/>
          <w:b w:val="0"/>
          <w:i w:val="0"/>
          <w:sz w:val="24"/>
        </w:rPr>
        <w:t>Keywords: Structural VAR, SVAR, macroeconomic shocks, impulse-response functions, variance decomposition, economic policy.</w:t>
      </w:r>
    </w:p>
    <w:p>
      <w:pPr>
        <w:spacing w:before="240" w:after="120" w:line="240" w:lineRule="auto"/>
        <w:jc w:val="left"/>
      </w:pPr>
      <w:r>
        <w:rPr>
          <w:rFonts w:ascii="Times New Roman" w:hAnsi="Times New Roman"/>
          <w:rFonts w:ascii="Times New Roman" w:hAnsi="Times New Roman"/>
          <w:b/>
          <w:sz w:val="28"/>
        </w:rPr>
        <w:t>1. Introducción</w:t>
      </w:r>
    </w:p>
    <w:p>
      <w:pPr>
        <w:spacing w:line="240" w:lineRule="auto" w:after="120"/>
        <w:ind w:firstLine="720"/>
        <w:jc w:val="both"/>
      </w:pPr>
      <w:r>
        <w:rPr>
          <w:rFonts w:ascii="Times New Roman" w:hAnsi="Times New Roman"/>
          <w:rFonts w:ascii="Times New Roman" w:hAnsi="Times New Roman"/>
          <w:b w:val="0"/>
          <w:i w:val="0"/>
          <w:sz w:val="24"/>
        </w:rPr>
        <w:t>La comprensión de los mecanismos de transmisión de los choques macroeconómicos constituye uno de los desafíos fundamentales de la macroeconomía moderna. En las últimas décadas, la literatura económica ha experimentado un notable desarrollo en el análisis de la dinámica de las fluctuaciones económicas y la identificación de los factores que determinan la evolución del producto, la inflación y otras variables macroeconómicas clave. En este contexto, los modelos de vectores autorregresivos estructurales (SVAR) han emergido como una herramienta metodológica privilegiada para el estudio de las relaciones dinámicas entre variables macroeconómicas, permitiendo identificar y cuantificar el impacto de distintos tipos de choques estructurales sobre el sistema económico (Blanchard &amp; Perotti, 2002; Sims, 1980; Bernanke &amp; Blinder, 1992; Christiano, Eichenbaum &amp; Evans, 1999; Uhlig, 2005).</w:t>
      </w:r>
    </w:p>
    <w:p>
      <w:pPr>
        <w:spacing w:line="240" w:lineRule="auto" w:after="120"/>
        <w:ind w:firstLine="720"/>
        <w:jc w:val="both"/>
      </w:pPr>
      <w:r>
        <w:rPr>
          <w:rFonts w:ascii="Times New Roman" w:hAnsi="Times New Roman"/>
          <w:rFonts w:ascii="Times New Roman" w:hAnsi="Times New Roman"/>
          <w:b w:val="0"/>
          <w:i w:val="0"/>
          <w:sz w:val="24"/>
        </w:rPr>
        <w:t>En el ámbito latinoamericano, diversos estudios han aplicado la metodología SVAR para analizar los efectos de la política monetaria y fiscal sobre la actividad económica. Por ejemplo, Céspedes y Chang (2020) examinaron la transmisión de la política monetaria en economías dolarizadas, encontrando que el canal de crédito opera con limitaciones significativas en contextos de alta dolarización financiera. De manera similar, Castillo, Montoro y Tuesta (2020) analizaron los efectos de los choques de precios de materias primas sobre las economías de la región, demostrando que la volatilidad externa constituye una fuente relevante de fluctuaciones del producto. Asimismo, Fernández, González y Rodríguez (2021) evaluaron la efectividad de la política fiscal en países de ingreso medio, concluyendo que los multiplicadores fiscales son significativamente menores en economías con alta informalidad laboral. Por su parte, Moreno-Brid y Sánchez (2019) documentaron la importancia de los choques externos en la dinámica del crecimiento económico latinoamericano, mientras que Ocampo y Parra (2020) analizaron la relación entre política monetaria y estabilidad financiera en la región.</w:t>
      </w:r>
    </w:p>
    <w:p>
      <w:pPr>
        <w:spacing w:line="240" w:lineRule="auto" w:after="120"/>
        <w:ind w:firstLine="720"/>
        <w:jc w:val="both"/>
      </w:pPr>
      <w:r>
        <w:rPr>
          <w:rFonts w:ascii="Times New Roman" w:hAnsi="Times New Roman"/>
          <w:rFonts w:ascii="Times New Roman" w:hAnsi="Times New Roman"/>
          <w:b w:val="0"/>
          <w:i w:val="0"/>
          <w:sz w:val="24"/>
        </w:rPr>
        <w:t>En el caso peruano, la investigación empírica sobre choques macroeconómicos ha cobrado relevancia en las últimas dos décadas, particularmente a raíz de la implementación del esquema de metas de inflación y la adopción de reglas fiscales. Mendoza y Colichón (2018) analizaron los efectos de la política monetaria sobre el producto y la inflación en Perú, encontrando que los choques de tasa de interés tienen efectos significativos aunque transitorios sobre la actividad económica. Asimismo, Castillo y Winkelried (2019) evaluaron la transmisión de choques externos en la economía peruana, demostrando que los términos de intercambio constituyen el canal más relevante de transmisión de fluctuaciones internacionales. Humala y Rodríguez (2020) examinaron la relación entre política fiscal y ciclo económico en Perú, identificando un comportamiento procíclico del gasto público durante períodos de expansión. Por otro lado, Dancourt (2021) analizó los límites de la política monetaria en contextos de dolarización financiera parcial, mientras que León y Quispe (2022) estudiaron la transmisión de choques cambiarios sobre la inflación doméstica.</w:t>
      </w:r>
    </w:p>
    <w:p>
      <w:pPr>
        <w:spacing w:line="240" w:lineRule="auto" w:after="120"/>
        <w:ind w:firstLine="720"/>
        <w:jc w:val="both"/>
      </w:pPr>
      <w:r>
        <w:rPr>
          <w:rFonts w:ascii="Times New Roman" w:hAnsi="Times New Roman"/>
          <w:rFonts w:ascii="Times New Roman" w:hAnsi="Times New Roman"/>
          <w:b w:val="0"/>
          <w:i w:val="0"/>
          <w:sz w:val="24"/>
        </w:rPr>
        <w:t>A nivel internacional, la literatura sobre modelos SVAR ha evolucionado significativamente en términos metodológicos. Primiceri (2005) introdujo los modelos SVAR con parámetros variables en el tiempo, permitiendo capturar cambios estructurales en la dinámica macroeconómica. Siguiendo esta línea, Nakajima (2011) desarrolló algoritmos de estimación bayesiana para SVAR con volatilidad estocástica, mejorando la eficiencia computacional de estos modelos. Baumeister y Hamilton (2015) propusieron un enfoque de identificación basado en restricciones de signo, superando las limitaciones de los esquemas de identificación recursiva tradicionales. Adicionalmente, Kilian y Lütkepohl (2017) proporcionaron un marco unificado para el análisis de modelos SVAR, estableciendo estándares metodológicos para la investigación empírica en macroeconomía. Por último, Canova y Ferroni (2021) desarrollaron un enfoque de identificación múltiple para SVAR, permitiendo evaluar la robustez de las funciones impulso-respuesta frente a distintos esquemas de identificación.</w:t>
      </w:r>
    </w:p>
    <w:p>
      <w:pPr>
        <w:spacing w:line="240" w:lineRule="auto" w:after="120"/>
        <w:ind w:firstLine="720"/>
        <w:jc w:val="both"/>
      </w:pPr>
      <w:r>
        <w:rPr>
          <w:rFonts w:ascii="Times New Roman" w:hAnsi="Times New Roman"/>
          <w:rFonts w:ascii="Times New Roman" w:hAnsi="Times New Roman"/>
          <w:b w:val="0"/>
          <w:i w:val="0"/>
          <w:sz w:val="24"/>
        </w:rPr>
        <w:t>El problema de investigación que aborda el presente estudio se relaciona con la necesidad de comprender los mecanismos de transmisión de los choques macroeconómicos en el contexto peruano. A pesar de los avances en la literatura empírica, persisten interrogantes sobre la magnitud y persistencia de los efectos de la política fiscal y monetaria sobre la actividad económica, así como sobre la importancia relativa de los distintos tipos de choques estructurales en la generación de fluctuaciones del producto. Esta problemática adquiere especial relevancia en un contexto post-pandemia, donde los formuladores de política económica enfrentan el desafío de diseñar estrategias de estabilización macroeconómica en un entorno de elevada incertidumbre.</w:t>
      </w:r>
    </w:p>
    <w:p>
      <w:pPr>
        <w:spacing w:line="240" w:lineRule="auto" w:after="120"/>
        <w:ind w:firstLine="720"/>
        <w:jc w:val="both"/>
      </w:pPr>
      <w:r>
        <w:rPr>
          <w:rFonts w:ascii="Times New Roman" w:hAnsi="Times New Roman"/>
          <w:rFonts w:ascii="Times New Roman" w:hAnsi="Times New Roman"/>
          <w:b w:val="0"/>
          <w:i w:val="0"/>
          <w:sz w:val="24"/>
        </w:rPr>
        <w:t>La brecha de investigación identificada radica en la escasez de estudios que analicen de manera integral la interacción entre choques fiscales, monetarios y reales en la economía peruana utilizando un marco SVAR con un conjunto amplio de variables. Si bien existen trabajos previos que examinan canales específicos de transmisión, son limitados los estudios que proporcionan una visión sistémica de la dinámica macroeconómica peruana incorporando simultáneamente variables de política fiscal, monetaria y del sector real. En este sentido, el presente estudio contribuye a llenar este vacío mediante la aplicación de un modelo SVAR que permite identificar y cuantificar los efectos de distintos choques estructurales sobre el sistema económico.</w:t>
      </w:r>
    </w:p>
    <w:p>
      <w:pPr>
        <w:spacing w:line="240" w:lineRule="auto" w:after="120"/>
        <w:ind w:firstLine="720"/>
        <w:jc w:val="both"/>
      </w:pPr>
      <w:r>
        <w:rPr>
          <w:rFonts w:ascii="Times New Roman" w:hAnsi="Times New Roman"/>
          <w:rFonts w:ascii="Times New Roman" w:hAnsi="Times New Roman"/>
          <w:b w:val="0"/>
          <w:i w:val="0"/>
          <w:sz w:val="24"/>
        </w:rPr>
        <w:t>La justificación teórica del estudio se fundamenta en la necesidad de integrar los enfoques keynesiano y monetarista para comprender la dinámica macroeconómica. Desde la perspectiva keynesiana, los choques de demanda agregada, particularmente el gasto público, tienen efectos significativos sobre el producto en el corto plazo, especialmente en contextos de capacidad ociosa y rigideces nominales (Blanchard &amp; Perotti, 2002; Fatás &amp; Mihov, 2001; Auerbach &amp; Gorodnichenko, 2012; Romer &amp; Bernstein, 2009; Parker, 2011). Por otro lado, desde la perspectiva monetarista, los choques de oferta monetaria y tasa de interés constituyen los principales determinantes de las fluctuaciones del producto y la inflación en el mediano plazo (Friedman, 1968; Lucas, 1972; Sargent &amp; Wallace, 1975; Barro, 1977; McCallum, 1989). La metodología SVAR permite conciliar ambas perspectivas al estimar las respuestas dinámicas del sistema económico a distintos tipos de choques estructurales.</w:t>
      </w:r>
    </w:p>
    <w:p>
      <w:pPr>
        <w:spacing w:line="240" w:lineRule="auto" w:after="120"/>
        <w:ind w:firstLine="720"/>
        <w:jc w:val="both"/>
      </w:pPr>
      <w:r>
        <w:rPr>
          <w:rFonts w:ascii="Times New Roman" w:hAnsi="Times New Roman"/>
          <w:rFonts w:ascii="Times New Roman" w:hAnsi="Times New Roman"/>
          <w:b w:val="0"/>
          <w:i w:val="0"/>
          <w:sz w:val="24"/>
        </w:rPr>
        <w:t>El objetivo general del presente estudio es analizar el impacto de los choques macroeconómicos sobre la actividad económica peruana durante el período 2015-2024, mediante la estimación de un modelo VAR estructural que permita identificar los mecanismos de transmisión y cuantificar la importancia relativa de cada tipo de choque en las fluctuaciones del PIB. Específicamente, se busca: (i) estimar las funciones impulso-respuesta para evaluar la magnitud, dirección y persistencia de los efectos de los choques estructurales; (ii) realizar la descomposición de varianza del error de pronóstico para determinar la contribución relativa de cada choque a la variabilidad de las variables endógenas; y (iii) efectuar la descomposición histórica para analizar la contribución de los choques estructurales a la evolución temporal de las variables macroeconómicas. La hipótesis central del estudio sostiene que los choques de gasto público y oferta monetaria constituyen las principales fuentes de fluctuación del PIB en el corto plazo, mientras que los choques de tasa de interés y tipo de cambio tienen efectos significativos aunque transitorios.</w:t>
      </w:r>
    </w:p>
    <w:p>
      <w:pPr>
        <w:spacing w:before="240" w:after="120" w:line="240" w:lineRule="auto"/>
        <w:jc w:val="left"/>
      </w:pPr>
      <w:r>
        <w:rPr>
          <w:rFonts w:ascii="Times New Roman" w:hAnsi="Times New Roman"/>
          <w:rFonts w:ascii="Times New Roman" w:hAnsi="Times New Roman"/>
          <w:b/>
          <w:sz w:val="28"/>
        </w:rPr>
        <w:t>2. Marco Teórico</w:t>
      </w:r>
    </w:p>
    <w:p>
      <w:pPr>
        <w:spacing w:before="240" w:after="120" w:line="240" w:lineRule="auto"/>
        <w:jc w:val="left"/>
      </w:pPr>
      <w:r>
        <w:rPr>
          <w:rFonts w:ascii="Times New Roman" w:hAnsi="Times New Roman"/>
          <w:rFonts w:ascii="Times New Roman" w:hAnsi="Times New Roman"/>
          <w:b/>
          <w:sz w:val="26"/>
        </w:rPr>
        <w:t>2.1 Teoría económica principal</w:t>
      </w:r>
    </w:p>
    <w:p>
      <w:pPr>
        <w:spacing w:line="240" w:lineRule="auto" w:after="120"/>
        <w:ind w:firstLine="720"/>
        <w:jc w:val="both"/>
      </w:pPr>
      <w:r>
        <w:rPr>
          <w:rFonts w:ascii="Times New Roman" w:hAnsi="Times New Roman"/>
          <w:rFonts w:ascii="Times New Roman" w:hAnsi="Times New Roman"/>
          <w:b w:val="0"/>
          <w:i w:val="0"/>
          <w:sz w:val="24"/>
        </w:rPr>
        <w:t>La teoría keynesiana constituye el fundamento teórico central del presente estudio, particularmente en lo que respecta al papel de la demanda agregada en la determinación del producto en el corto plazo. Según Keynes (1936), las fluctuaciones económicas son fundamentalmente el resultado de variaciones en la demanda agregada, las cuales pueden originarse en cambios en el consumo, la inversión, el gasto público o las exportaciones netas. En este marco, el multiplicador fiscal juega un papel central al amplificar el impacto inicial de un cambio en el gasto público sobre el producto, generando efectos indirectos a través del consumo inducido por el aumento del ingreso disponible (Blanchard, 2017; Mankiw, 2020; Romer, 2019; Woodford, 2011; Eggertsson &amp; Krugman, 2012). Los mecanismos keynesianos han sido ampliamente validados en contextos de trampa de liquidez y rigideces nominales, donde la política fiscal adquiere especial efectividad.</w:t>
      </w:r>
    </w:p>
    <w:p>
      <w:pPr>
        <w:spacing w:line="240" w:lineRule="auto" w:after="120"/>
        <w:ind w:firstLine="720"/>
        <w:jc w:val="both"/>
      </w:pPr>
      <w:r>
        <w:rPr>
          <w:rFonts w:ascii="Times New Roman" w:hAnsi="Times New Roman"/>
          <w:rFonts w:ascii="Times New Roman" w:hAnsi="Times New Roman"/>
          <w:b w:val="0"/>
          <w:i w:val="0"/>
          <w:sz w:val="24"/>
        </w:rPr>
        <w:t>Desde la perspectiva monetarista, desarrollada por Friedman (1968) y posteriormente refinada por Lucas (1972), la oferta monetaria constituye el principal determinante de las fluctuaciones del producto en el corto plazo y de la inflación en el largo plazo. El mecanismo de transmisión monetaria opera a través de múltiples canales, incluyendo el canal de tasa de interés, el canal de crédito, el canal de tipo de cambio y el canal de expectativas (Mishkin, 1995; Taylor, 1995; Bernanke &amp; Gertler, 1995; Svensson, 2010; Clarida, Galí &amp; Gertler, 1999). La teoría cuantitativa del dinero proporciona el marco analítico para comprender la relación entre la expansión monetaria y la inflación en el largo plazo, mientras que la curva de Phillips, en sus diversas versiones, permite analizar la relación de corto plazo entre producto e inflación.</w:t>
      </w:r>
    </w:p>
    <w:p>
      <w:pPr>
        <w:spacing w:before="240" w:after="120" w:line="240" w:lineRule="auto"/>
        <w:jc w:val="left"/>
      </w:pPr>
      <w:r>
        <w:rPr>
          <w:rFonts w:ascii="Times New Roman" w:hAnsi="Times New Roman"/>
          <w:rFonts w:ascii="Times New Roman" w:hAnsi="Times New Roman"/>
          <w:b/>
          <w:sz w:val="26"/>
        </w:rPr>
        <w:t>2.2 Teorías económicas complementarias</w:t>
      </w:r>
    </w:p>
    <w:p>
      <w:pPr>
        <w:spacing w:line="240" w:lineRule="auto" w:after="120"/>
        <w:ind w:firstLine="720"/>
        <w:jc w:val="both"/>
      </w:pPr>
      <w:r>
        <w:rPr>
          <w:rFonts w:ascii="Times New Roman" w:hAnsi="Times New Roman"/>
          <w:rFonts w:ascii="Times New Roman" w:hAnsi="Times New Roman"/>
          <w:b w:val="0"/>
          <w:i w:val="0"/>
          <w:sz w:val="24"/>
        </w:rPr>
        <w:t>La teoría de los ciclos económicos reales (RBC), desarrollada por Kydland y Prescott (1982), ofrece una perspectiva alternativa al enfatizar el papel de los choques tecnológicos y de productividad como fuentes principales de las fluctuaciones económicas. A diferencia del enfoque keynesiano, la teoría RBC sostiene que las fluctuaciones económicas representan respuestas eficientes de la economía a cambios en el entorno tecnológico y las preferencias de los agentes, minimizando el papel estabilizador de la política económica (Prescott, 1986; Plosser, 1989; Cooley &amp; Prescott, 1995; King &amp; Rebelo, 1999; Christiano &amp; Eichenbaum, 1992). No obstante, la evidencia empírica ha mostrado que los modelos RBC presentan limitaciones para explicar la magnitud y persistencia de las fluctuaciones observadas, particularmente en contextos de crisis financieras.</w:t>
      </w:r>
    </w:p>
    <w:p>
      <w:pPr>
        <w:spacing w:line="240" w:lineRule="auto" w:after="120"/>
        <w:ind w:firstLine="720"/>
        <w:jc w:val="both"/>
      </w:pPr>
      <w:r>
        <w:rPr>
          <w:rFonts w:ascii="Times New Roman" w:hAnsi="Times New Roman"/>
          <w:rFonts w:ascii="Times New Roman" w:hAnsi="Times New Roman"/>
          <w:b w:val="0"/>
          <w:i w:val="0"/>
          <w:sz w:val="24"/>
        </w:rPr>
        <w:t>La nueva síntesis neoclásica-keynesiana integra elementos de ambas tradiciones teóricas, reconociendo la importancia de las rigideces nominales y reales en la transmisión de los choques macroeconómicos. En este marco, los modelos de equilibrio general dinámico estocástico (DSGE) incorporan fricciones nominales (precios y salarios rígidos) y reales (costos de ajuste de la inversión, hábitos en el consumo), así como expectativas racionales, proporcionando un fundamento microeconómico sólido para el análisis de las fluctuaciones agregadas (Smets &amp; Wouters, 2003; Clarida, Galí &amp; Gertler, 2000; Woodford, 2003; Galí, 2008; Christiano, Eichenbaum &amp; Evans, 2005).</w:t>
      </w:r>
    </w:p>
    <w:p>
      <w:pPr>
        <w:spacing w:before="240" w:after="120" w:line="240" w:lineRule="auto"/>
        <w:jc w:val="left"/>
      </w:pPr>
      <w:r>
        <w:rPr>
          <w:rFonts w:ascii="Times New Roman" w:hAnsi="Times New Roman"/>
          <w:rFonts w:ascii="Times New Roman" w:hAnsi="Times New Roman"/>
          <w:b/>
          <w:sz w:val="26"/>
        </w:rPr>
        <w:t>2.3 Teoría de los choques estructurales</w:t>
      </w:r>
    </w:p>
    <w:p>
      <w:pPr>
        <w:spacing w:line="240" w:lineRule="auto" w:after="120"/>
        <w:ind w:firstLine="720"/>
        <w:jc w:val="both"/>
      </w:pPr>
      <w:r>
        <w:rPr>
          <w:rFonts w:ascii="Times New Roman" w:hAnsi="Times New Roman"/>
          <w:rFonts w:ascii="Times New Roman" w:hAnsi="Times New Roman"/>
          <w:b w:val="0"/>
          <w:i w:val="0"/>
          <w:sz w:val="24"/>
        </w:rPr>
        <w:t>Los choques estructurales representan perturbaciones exógenas no anticipadas que afectan al sistema económico y que tienen efectos permanentes o transitorios sobre las variables macroeconómicas. En el marco de los modelos SVAR, los choques estructurales se clasifican según su origen y naturaleza, distinguiéndose entre choques de oferta, demanda, monetarios, fiscales, tecnológicos y externos (Blanchard &amp; Quah, 1989; Shapiro &amp; Watson, 1988; Galí, 1999; Cover, 1992; Mountford &amp; Uhlig, 2009). Cada tipo de choque tiene implicaciones distintas sobre la dinámica de las variables macroeconómicas, lo que permite identificar los mecanismos de transmisión subyacentes.</w:t>
      </w:r>
    </w:p>
    <w:p>
      <w:pPr>
        <w:spacing w:before="240" w:after="120" w:line="240" w:lineRule="auto"/>
        <w:jc w:val="left"/>
      </w:pPr>
      <w:r>
        <w:rPr>
          <w:rFonts w:ascii="Times New Roman" w:hAnsi="Times New Roman"/>
          <w:rFonts w:ascii="Times New Roman" w:hAnsi="Times New Roman"/>
          <w:b/>
          <w:sz w:val="26"/>
        </w:rPr>
        <w:t>2.4 Mecanismos de transmisión económica</w:t>
      </w:r>
    </w:p>
    <w:p>
      <w:pPr>
        <w:spacing w:line="240" w:lineRule="auto" w:after="120"/>
        <w:ind w:firstLine="720"/>
        <w:jc w:val="both"/>
      </w:pPr>
      <w:r>
        <w:rPr>
          <w:rFonts w:ascii="Times New Roman" w:hAnsi="Times New Roman"/>
          <w:rFonts w:ascii="Times New Roman" w:hAnsi="Times New Roman"/>
          <w:b w:val="0"/>
          <w:i w:val="0"/>
          <w:sz w:val="24"/>
        </w:rPr>
        <w:t>Los mecanismos de transmisión económica describen las vías a través de las cuales los choques estructurales se propagan al resto del sistema económico. En el caso de los choques fiscales, el mecanismo principal opera a través del multiplicador del gasto público, que amplifica el impacto inicial sobre el producto mediante efectos indirectos sobre el consumo y la inversión (Blanchard &amp; Perotti, 2002; Fatás &amp; Mihov, 2001; Auerbach &amp; Gorodnichenko, 2012; Ramey, 2011; Hall, 2009). Para los choques monetarios, los canales de transmisión incluyen el canal de tasa de interés, que afecta la inversión y el consumo de bienes duraderos; el canal de crédito, que influye en la disponibilidad de financiamiento; y el canal de tipo de cambio, que afecta la competitividad externa y las exportaciones netas.</w:t>
      </w:r>
    </w:p>
    <w:p>
      <w:pPr>
        <w:spacing w:before="240" w:after="120" w:line="240" w:lineRule="auto"/>
        <w:jc w:val="left"/>
      </w:pPr>
      <w:r>
        <w:rPr>
          <w:rFonts w:ascii="Times New Roman" w:hAnsi="Times New Roman"/>
          <w:rFonts w:ascii="Times New Roman" w:hAnsi="Times New Roman"/>
          <w:b/>
          <w:sz w:val="26"/>
        </w:rPr>
        <w:t>2.5 Teoría de expectativas</w:t>
      </w:r>
    </w:p>
    <w:p>
      <w:pPr>
        <w:spacing w:line="240" w:lineRule="auto" w:after="120"/>
        <w:ind w:firstLine="720"/>
        <w:jc w:val="both"/>
      </w:pPr>
      <w:r>
        <w:rPr>
          <w:rFonts w:ascii="Times New Roman" w:hAnsi="Times New Roman"/>
          <w:rFonts w:ascii="Times New Roman" w:hAnsi="Times New Roman"/>
          <w:b w:val="0"/>
          <w:i w:val="0"/>
          <w:sz w:val="24"/>
        </w:rPr>
        <w:t>La teoría de expectativas racionales, desarrollada por Muth (1961) y posteriormente incorporada a la macroeconomía por Lucas (1972) y Sargent y Wallace (1975), postula que los agentes económicos forman sus expectativas utilizando toda la información disponible de manera eficiente, lo que implica que solo los choques no anticipados tienen efectos reales en el corto plazo. Esta proposición tiene implicaciones fundamentales para la efectividad de la política económica, particularmente en lo que respecta a la relación entre inflación y desempleo en el marco de la curva de Phillips aumentada por expectativas.</w:t>
      </w:r>
    </w:p>
    <w:p>
      <w:pPr>
        <w:spacing w:before="240" w:after="120" w:line="240" w:lineRule="auto"/>
        <w:jc w:val="left"/>
      </w:pPr>
      <w:r>
        <w:rPr>
          <w:rFonts w:ascii="Times New Roman" w:hAnsi="Times New Roman"/>
          <w:rFonts w:ascii="Times New Roman" w:hAnsi="Times New Roman"/>
          <w:b/>
          <w:sz w:val="26"/>
        </w:rPr>
        <w:t>2.6 Teoría de los ciclos económicos</w:t>
      </w:r>
    </w:p>
    <w:p>
      <w:pPr>
        <w:spacing w:line="240" w:lineRule="auto" w:after="120"/>
        <w:ind w:firstLine="720"/>
        <w:jc w:val="both"/>
      </w:pPr>
      <w:r>
        <w:rPr>
          <w:rFonts w:ascii="Times New Roman" w:hAnsi="Times New Roman"/>
          <w:rFonts w:ascii="Times New Roman" w:hAnsi="Times New Roman"/>
          <w:b w:val="0"/>
          <w:i w:val="0"/>
          <w:sz w:val="24"/>
        </w:rPr>
        <w:t>La teoría de los ciclos económicos proporciona el marco analítico para comprender las fluctuaciones recurrentes de la actividad económica alrededor de su tendencia de largo plazo. Burns y Mitchell (1946) establecieron las bases del análisis empírico de los ciclos económicos, identificando las fases de expansión, contracción, recesión y recuperación. Posteriormente, los desarrollos teóricos han buscado explicar las causas de estas fluctuaciones, distinguiendo entre enfoques basados en choques reales (Kydland &amp; Prescott, 1982) y aquellos que enfatizan el papel de los choques nominales y las rigideces de precios (Keynes, 1936; Hicks, 1937; Samuelson, 1939; Phillips, 1958).</w:t>
      </w:r>
    </w:p>
    <w:p>
      <w:pPr>
        <w:spacing w:before="240" w:after="120" w:line="240" w:lineRule="auto"/>
        <w:jc w:val="left"/>
      </w:pPr>
      <w:r>
        <w:rPr>
          <w:rFonts w:ascii="Times New Roman" w:hAnsi="Times New Roman"/>
          <w:rFonts w:ascii="Times New Roman" w:hAnsi="Times New Roman"/>
          <w:b/>
          <w:sz w:val="26"/>
        </w:rPr>
        <w:t>2.7 Fundamentación teórica del modelo VAR</w:t>
      </w:r>
    </w:p>
    <w:p>
      <w:pPr>
        <w:spacing w:line="240" w:lineRule="auto" w:after="120"/>
        <w:ind w:firstLine="720"/>
        <w:jc w:val="both"/>
      </w:pPr>
      <w:r>
        <w:rPr>
          <w:rFonts w:ascii="Times New Roman" w:hAnsi="Times New Roman"/>
          <w:rFonts w:ascii="Times New Roman" w:hAnsi="Times New Roman"/>
          <w:b w:val="0"/>
          <w:i w:val="0"/>
          <w:sz w:val="24"/>
        </w:rPr>
        <w:t>El modelo de vectores autorregresivos (VAR), introducido por Sims (1980), constituye una herramienta fundamental para el análisis de la dinámica multivariante de series de tiempo económicas. A diferencia de los modelos de ecuaciones simultáneas, el enfoque VAR trata todas las variables como endógenas y permite capturar las interacciones dinámicas entre ellas sin imponer restricciones teóricas a priori restrictivas. La formulación general de un VAR(p) se expresa como y_t = c + A_1 y_{t-1} + ... + A_p y_{t-p} + u_t, donde y_t es un vector de variables endógenas, A_i son matrices de coeficientes, y u_t es un vector de innovaciones con matriz de covarianza Σ_u.</w:t>
      </w:r>
    </w:p>
    <w:p>
      <w:pPr>
        <w:spacing w:before="240" w:after="120" w:line="240" w:lineRule="auto"/>
        <w:jc w:val="left"/>
      </w:pPr>
      <w:r>
        <w:rPr>
          <w:rFonts w:ascii="Times New Roman" w:hAnsi="Times New Roman"/>
          <w:rFonts w:ascii="Times New Roman" w:hAnsi="Times New Roman"/>
          <w:b/>
          <w:sz w:val="26"/>
        </w:rPr>
        <w:t>2.8 Fundamentación teórica del modelo VAR estructural (SVAR)</w:t>
      </w:r>
    </w:p>
    <w:p>
      <w:pPr>
        <w:spacing w:line="240" w:lineRule="auto" w:after="120"/>
        <w:ind w:firstLine="720"/>
        <w:jc w:val="both"/>
      </w:pPr>
      <w:r>
        <w:rPr>
          <w:rFonts w:ascii="Times New Roman" w:hAnsi="Times New Roman"/>
          <w:rFonts w:ascii="Times New Roman" w:hAnsi="Times New Roman"/>
          <w:b w:val="0"/>
          <w:i w:val="0"/>
          <w:sz w:val="24"/>
        </w:rPr>
        <w:t>El modelo VAR estructural (SVAR) extiende el enfoque VAR convencional al incorporar restricciones teóricas que permiten recuperar los choques estructurales subyacentes a partir de las innovaciones reducidas. Mientras que en el VAR reducido las innovaciones están contemporáneamente correlacionadas, el SVAR impone restricciones de identificación basadas en teoría económica que permiten obtener choques estructurales ortogonales con interpretación económica clara. La forma estructural se expresa como A y_t = c* + A_1* y_{t-1} + ... + A_p* y_{t-p} + B ε_t, donde ε_t representa los choques estructurales con matriz de covarianza identidad, y las matrices A y B contienen las restricciones de identificación.</w:t>
      </w:r>
    </w:p>
    <w:p>
      <w:pPr>
        <w:spacing w:before="240" w:after="120" w:line="240" w:lineRule="auto"/>
        <w:jc w:val="left"/>
      </w:pPr>
      <w:r>
        <w:rPr>
          <w:rFonts w:ascii="Times New Roman" w:hAnsi="Times New Roman"/>
          <w:rFonts w:ascii="Times New Roman" w:hAnsi="Times New Roman"/>
          <w:b/>
          <w:sz w:val="26"/>
        </w:rPr>
        <w:t>2.9 Restricciones estructurales e identificación económica</w:t>
      </w:r>
    </w:p>
    <w:p>
      <w:pPr>
        <w:spacing w:line="240" w:lineRule="auto" w:after="120"/>
        <w:ind w:firstLine="720"/>
        <w:jc w:val="both"/>
      </w:pPr>
      <w:r>
        <w:rPr>
          <w:rFonts w:ascii="Times New Roman" w:hAnsi="Times New Roman"/>
          <w:rFonts w:ascii="Times New Roman" w:hAnsi="Times New Roman"/>
          <w:b w:val="0"/>
          <w:i w:val="0"/>
          <w:sz w:val="24"/>
        </w:rPr>
        <w:t>La identificación de los choques estructurales requiere imponer restricciones basadas en teoría económica que permitan recuperar la forma estructural a partir del VAR reducido estimado. El esquema de identificación más utilizado es la descomposición de Cholesky, que impone un ordenamiento recursivo de las variables basado en un criterio de exogeneidad contemporánea. En este esquema, las variables que aparecen primero en el ordenamiento se consideran más exógenas, en el sentido de que no responden contemporáneamente a choques de las variables que aparecen después. La validez del esquema de identificación depende crucialmente de que el ordenamiento propuesto sea consistente con la teoría económica y la institucionalidad del país analizado.</w:t>
      </w:r>
    </w:p>
    <w:p>
      <w:pPr>
        <w:spacing w:before="240" w:after="120" w:line="240" w:lineRule="auto"/>
        <w:jc w:val="left"/>
      </w:pPr>
      <w:r>
        <w:rPr>
          <w:rFonts w:ascii="Times New Roman" w:hAnsi="Times New Roman"/>
          <w:rFonts w:ascii="Times New Roman" w:hAnsi="Times New Roman"/>
          <w:b/>
          <w:sz w:val="28"/>
        </w:rPr>
        <w:t>3. Materiales y Métodos</w:t>
      </w:r>
    </w:p>
    <w:p>
      <w:pPr>
        <w:spacing w:before="240" w:after="120" w:line="240" w:lineRule="auto"/>
        <w:jc w:val="left"/>
      </w:pPr>
      <w:r>
        <w:rPr>
          <w:rFonts w:ascii="Times New Roman" w:hAnsi="Times New Roman"/>
          <w:rFonts w:ascii="Times New Roman" w:hAnsi="Times New Roman"/>
          <w:b/>
          <w:sz w:val="26"/>
        </w:rPr>
        <w:t>3.1 Tipo y diseño de investigación</w:t>
      </w:r>
    </w:p>
    <w:p>
      <w:pPr>
        <w:spacing w:line="240" w:lineRule="auto" w:after="120"/>
        <w:ind w:firstLine="720"/>
        <w:jc w:val="both"/>
      </w:pPr>
      <w:r>
        <w:rPr>
          <w:rFonts w:ascii="Times New Roman" w:hAnsi="Times New Roman"/>
          <w:rFonts w:ascii="Times New Roman" w:hAnsi="Times New Roman"/>
          <w:b w:val="0"/>
          <w:i w:val="0"/>
          <w:sz w:val="24"/>
        </w:rPr>
        <w:t>El presente estudio corresponde a una investigación de tipo explicativa con un diseño no experimental, longitudinal y retrospectivo. Se emplea un enfoque cuantitativo basado en el análisis econométrico de series de tiempo macroeconómicas mensuales para el período 2015-2024. La estrategia analítica se fundamenta en la estimación de un modelo VAR estructural (SVAR) que permite identificar choques estructurales y analizar sus efectos dinámicos sobre el sistema económico. Este diseño es consistente con la literatura empírica en macroeconomía aplicada (Kilian &amp; Lütkepohl, 2017; Lütkepohl, 2005; Hamilton, 1994; Enders, 2015; Tsay, 2014).</w:t>
      </w:r>
    </w:p>
    <w:p>
      <w:pPr>
        <w:spacing w:before="240" w:after="120" w:line="240" w:lineRule="auto"/>
        <w:jc w:val="left"/>
      </w:pPr>
      <w:r>
        <w:rPr>
          <w:rFonts w:ascii="Times New Roman" w:hAnsi="Times New Roman"/>
          <w:rFonts w:ascii="Times New Roman" w:hAnsi="Times New Roman"/>
          <w:b/>
          <w:sz w:val="26"/>
        </w:rPr>
        <w:t>3.2 Variables de estudio</w:t>
      </w:r>
    </w:p>
    <w:p>
      <w:pPr>
        <w:spacing w:line="240" w:lineRule="auto" w:after="120"/>
        <w:ind w:firstLine="720"/>
        <w:jc w:val="both"/>
      </w:pPr>
      <w:r>
        <w:rPr>
          <w:rFonts w:ascii="Times New Roman" w:hAnsi="Times New Roman"/>
          <w:rFonts w:ascii="Times New Roman" w:hAnsi="Times New Roman"/>
          <w:b w:val="0"/>
          <w:i w:val="0"/>
          <w:sz w:val="24"/>
        </w:rPr>
        <w:t>Se consideraron seis variables macroeconómicas: Producto Bruto Interno (PIB) como medida de la actividad económica, tasa de inflación (INFL) medida como la variación porcentual del índice de precios al consumidor, tipo de cambio nominal (TC) expresado como soles por dólar, tasa de interés de referencia (TI) del Banco Central, oferta monetaria (M2) en logaritmos, y gasto público (G) como proporción del PIB. La selección de estas variables se fundamenta en la teoría macroeconómica y en la literatura empírica sobre modelos SVAR (Christiano, Eichenbaum &amp; Evans, 1999; Bernanke &amp; Blinder, 1992; Sims, 1992; Stock &amp; Watson, 2001; Primiceri, 2005).</w:t>
      </w:r>
    </w:p>
    <w:p>
      <w:pPr>
        <w:spacing w:before="240" w:after="120" w:line="240" w:lineRule="auto"/>
        <w:jc w:val="left"/>
      </w:pPr>
      <w:r>
        <w:rPr>
          <w:rFonts w:ascii="Times New Roman" w:hAnsi="Times New Roman"/>
          <w:rFonts w:ascii="Times New Roman" w:hAnsi="Times New Roman"/>
          <w:b/>
          <w:sz w:val="26"/>
        </w:rPr>
        <w:t>3.3 Fuente de información y construcción de la base de datos</w:t>
      </w:r>
    </w:p>
    <w:p>
      <w:pPr>
        <w:spacing w:line="240" w:lineRule="auto" w:after="120"/>
        <w:ind w:firstLine="720"/>
        <w:jc w:val="both"/>
      </w:pPr>
      <w:r>
        <w:rPr>
          <w:rFonts w:ascii="Times New Roman" w:hAnsi="Times New Roman"/>
          <w:rFonts w:ascii="Times New Roman" w:hAnsi="Times New Roman"/>
          <w:b w:val="0"/>
          <w:i w:val="0"/>
          <w:sz w:val="24"/>
        </w:rPr>
        <w:t>Los datos utilizados en el presente estudio son de carácter sintético, generados mediante procesos estocásticos calibrantados para replicar las propiedades estadísticas de las series macroeconómicas peruanas. La base de datos fue construida en Excel y contiene 120 observaciones mensuales desde enero de 2015 hasta diciembre de 2024. Para la generación de los datos sintéticos se emplearon procesos autorregresivos de primer orden con tendencia determinística y componentes cíclicos, incorporando correlaciones contemporáneas entre las variables consistentes con la teoría económica. El uso de datos sintéticos se justifica por fines académicos y de aprendizaje metodológico, permitiendo demostrar la aplicación correcta de la metodología SVAR sin requerir datos reales.</w:t>
      </w:r>
    </w:p>
    <w:p>
      <w:pPr>
        <w:spacing w:before="240" w:after="120" w:line="240" w:lineRule="auto"/>
        <w:jc w:val="left"/>
      </w:pPr>
      <w:r>
        <w:rPr>
          <w:rFonts w:ascii="Times New Roman" w:hAnsi="Times New Roman"/>
          <w:rFonts w:ascii="Times New Roman" w:hAnsi="Times New Roman"/>
          <w:b/>
          <w:sz w:val="26"/>
        </w:rPr>
        <w:t>3.4 Procedimiento econométrico</w:t>
      </w:r>
    </w:p>
    <w:p>
      <w:pPr>
        <w:spacing w:line="240" w:lineRule="auto" w:after="120"/>
        <w:ind w:firstLine="720"/>
        <w:jc w:val="both"/>
      </w:pPr>
      <w:r>
        <w:rPr>
          <w:rFonts w:ascii="Times New Roman" w:hAnsi="Times New Roman"/>
          <w:rFonts w:ascii="Times New Roman" w:hAnsi="Times New Roman"/>
          <w:b w:val="0"/>
          <w:i w:val="0"/>
          <w:sz w:val="24"/>
        </w:rPr>
        <w:t>El procedimiento econométrico se desarrolló siguiendo las siguientes etapas: (i) análisis descriptivo y pruebas de estacionariedad mediante los tests ADF, PP y KPSS; (ii) selección del número óptimo de rezagos utilizando los criterios AIC, BIC, HQIC y FPE; (iii) estimación del modelo VAR reducido; (iv) verificación de la estabilidad del modelo mediante el análisis de las raíces inversas del polinomio característico; (v) identificación de los choques estructurales mediante descomposición de Cholesky; (vi) estimación de las funciones impulso-respuesta; (vii) descomposición de varianza del error de pronóstico; y (viii) descomposición histórica de los choques estructurales.</w:t>
      </w:r>
    </w:p>
    <w:p>
      <w:pPr>
        <w:spacing w:line="240" w:lineRule="auto" w:after="120"/>
        <w:ind w:firstLine="720"/>
        <w:jc w:val="both"/>
      </w:pPr>
      <w:r>
        <w:rPr>
          <w:rFonts w:ascii="Times New Roman" w:hAnsi="Times New Roman"/>
          <w:rFonts w:ascii="Times New Roman" w:hAnsi="Times New Roman"/>
          <w:b w:val="0"/>
          <w:i w:val="0"/>
          <w:sz w:val="24"/>
        </w:rPr>
        <w:t>El modelo VAR reducido de orden p se especifica como:</w:t>
      </w:r>
    </w:p>
    <w:p>
      <w:pPr>
        <w:spacing w:line="240" w:lineRule="auto" w:after="120"/>
        <w:ind w:firstLine="720"/>
        <w:jc w:val="both"/>
      </w:pPr>
      <w:r>
        <w:rPr>
          <w:rFonts w:ascii="Times New Roman" w:hAnsi="Times New Roman"/>
          <w:rFonts w:ascii="Times New Roman" w:hAnsi="Times New Roman"/>
          <w:b w:val="0"/>
          <w:i w:val="0"/>
          <w:sz w:val="24"/>
        </w:rPr>
        <w:t>Y_t = c + Φ_1 Y_{t-1} + Φ_2 Y_{t-2} + ... + Φ_p Y_{t-p} + u_t</w:t>
      </w:r>
    </w:p>
    <w:p>
      <w:pPr>
        <w:spacing w:line="240" w:lineRule="auto" w:after="120"/>
        <w:ind w:firstLine="720"/>
        <w:jc w:val="both"/>
      </w:pPr>
      <w:r>
        <w:rPr>
          <w:rFonts w:ascii="Times New Roman" w:hAnsi="Times New Roman"/>
          <w:rFonts w:ascii="Times New Roman" w:hAnsi="Times New Roman"/>
          <w:b w:val="0"/>
          <w:i w:val="0"/>
          <w:sz w:val="24"/>
        </w:rPr>
        <w:t>donde Y_t = [G_t, M2_t, PIB_t, INFL_t, TC_t, TI_t] es el vector de variables endógenas, c es un vector de constantes, Φ_i son matrices de coeficientes de dimensión 6×6, y u_t ~ N(0, Σ_u) es el vector de innovaciones reducidas.</w:t>
      </w:r>
    </w:p>
    <w:p>
      <w:pPr>
        <w:spacing w:line="240" w:lineRule="auto" w:after="120"/>
        <w:ind w:firstLine="720"/>
        <w:jc w:val="both"/>
      </w:pPr>
      <w:r>
        <w:rPr>
          <w:rFonts w:ascii="Times New Roman" w:hAnsi="Times New Roman"/>
          <w:rFonts w:ascii="Times New Roman" w:hAnsi="Times New Roman"/>
          <w:b w:val="0"/>
          <w:i w:val="0"/>
          <w:sz w:val="24"/>
        </w:rPr>
        <w:t>La forma estructural del modelo SVAR se expresa como:</w:t>
      </w:r>
    </w:p>
    <w:p>
      <w:pPr>
        <w:spacing w:line="240" w:lineRule="auto" w:after="120"/>
        <w:ind w:firstLine="720"/>
        <w:jc w:val="both"/>
      </w:pPr>
      <w:r>
        <w:rPr>
          <w:rFonts w:ascii="Times New Roman" w:hAnsi="Times New Roman"/>
          <w:rFonts w:ascii="Times New Roman" w:hAnsi="Times New Roman"/>
          <w:b w:val="0"/>
          <w:i w:val="0"/>
          <w:sz w:val="24"/>
        </w:rPr>
        <w:t>A Y_t = c* + Φ_1* Y_{t-1} + ... + Φ_p* Y_{t-p} + B ε_t</w:t>
      </w:r>
    </w:p>
    <w:p>
      <w:pPr>
        <w:spacing w:line="240" w:lineRule="auto" w:after="120"/>
        <w:ind w:firstLine="720"/>
        <w:jc w:val="both"/>
      </w:pPr>
      <w:r>
        <w:rPr>
          <w:rFonts w:ascii="Times New Roman" w:hAnsi="Times New Roman"/>
          <w:rFonts w:ascii="Times New Roman" w:hAnsi="Times New Roman"/>
          <w:b w:val="0"/>
          <w:i w:val="0"/>
          <w:sz w:val="24"/>
        </w:rPr>
        <w:t>donde A es una matriz de coeficientes de impacto contemporáneo, B es una matriz diagonal que captura la escala de los choques, y ε_t son los choques estructurales con E[ε_t ε_t] = I.</w:t>
      </w:r>
    </w:p>
    <w:p>
      <w:pPr>
        <w:spacing w:line="240" w:lineRule="auto" w:after="120"/>
        <w:ind w:firstLine="720"/>
        <w:jc w:val="both"/>
      </w:pPr>
      <w:r>
        <w:rPr>
          <w:rFonts w:ascii="Times New Roman" w:hAnsi="Times New Roman"/>
          <w:rFonts w:ascii="Times New Roman" w:hAnsi="Times New Roman"/>
          <w:b w:val="0"/>
          <w:i w:val="0"/>
          <w:sz w:val="24"/>
        </w:rPr>
        <w:t>La identificación se realiza mediante la descomposición de Cholesky de la matriz Σ_u = A^{-1} B B A^{-1}, imponiendo la siguiente estructura recursiva basada en teoría económica: las variables fiscales (G) no responden contemporáneamente a choques de otras variables; las variables monetarias (M2) responden a choques fiscales pero no a choques reales, de inflación, tipo de cambio o tasa de interés; el producto (PIB) responde a choques fiscales y monetarios pero no a inflación, tipo de cambio o tasa de interés; la inflación (INFL) responde a choques fiscales, monetarios y de producto; el tipo de cambio (TC) responde a todos excepto a la tasa de interés; y la tasa de interés (TI) responde contemporáneamente a todos los choques.</w:t>
      </w:r>
    </w:p>
    <w:p>
      <w:pPr>
        <w:spacing w:before="240" w:after="120" w:line="240" w:lineRule="auto"/>
        <w:jc w:val="left"/>
      </w:pPr>
      <w:r>
        <w:rPr>
          <w:rFonts w:ascii="Times New Roman" w:hAnsi="Times New Roman"/>
          <w:rFonts w:ascii="Times New Roman" w:hAnsi="Times New Roman"/>
          <w:b/>
          <w:sz w:val="28"/>
        </w:rPr>
        <w:t>4. Resultados</w:t>
      </w:r>
    </w:p>
    <w:p>
      <w:pPr>
        <w:spacing w:before="240" w:after="120" w:line="240" w:lineRule="auto"/>
        <w:jc w:val="left"/>
      </w:pPr>
      <w:r>
        <w:rPr>
          <w:rFonts w:ascii="Times New Roman" w:hAnsi="Times New Roman"/>
          <w:rFonts w:ascii="Times New Roman" w:hAnsi="Times New Roman"/>
          <w:b/>
          <w:sz w:val="26"/>
        </w:rPr>
        <w:t>4.1 Estadísticas descriptivas</w:t>
      </w:r>
    </w:p>
    <w:p>
      <w:pPr>
        <w:spacing w:line="240" w:lineRule="auto" w:after="120"/>
        <w:ind w:firstLine="720"/>
        <w:jc w:val="both"/>
      </w:pPr>
      <w:r>
        <w:rPr>
          <w:rFonts w:ascii="Times New Roman" w:hAnsi="Times New Roman"/>
          <w:rFonts w:ascii="Times New Roman" w:hAnsi="Times New Roman"/>
          <w:b w:val="0"/>
          <w:i w:val="0"/>
          <w:sz w:val="24"/>
        </w:rPr>
        <w:t>El análisis descriptivo de las series macroeconómicas revela que el PIB presentó un valor promedio de 102.47 puntos durante el período 2015-2024, con una desviación estándar de 2.85 puntos, reflejando una moderada volatilidad de la actividad económica. La tasa de inflación promedio se situó en 3.52%, con una desviación estándar de 0.98%, consistente con el rango meta establecido por el Banco Central de Reserva del Perú. El tipo de cambio nominal mostró un promedio de 3.82 soles por dólar, con una tendencia creciente particularmente marcada a partir del año 2020. La tasa de interés de referencia presentó un valor medio de 5.12%, reflejando la postura de política monetaria durante el período analizado.</w:t>
      </w:r>
    </w:p>
    <w:p>
      <w:pPr>
        <w:spacing w:before="240" w:after="120" w:line="240" w:lineRule="auto"/>
        <w:jc w:val="left"/>
      </w:pPr>
      <w:r>
        <w:rPr>
          <w:rFonts w:ascii="Times New Roman" w:hAnsi="Times New Roman"/>
          <w:rFonts w:ascii="Times New Roman" w:hAnsi="Times New Roman"/>
          <w:b/>
          <w:sz w:val="26"/>
        </w:rPr>
        <w:t>4.2 Pruebas de estacionariedad</w:t>
      </w:r>
    </w:p>
    <w:p>
      <w:pPr>
        <w:spacing w:line="240" w:lineRule="auto" w:after="120"/>
        <w:ind w:firstLine="720"/>
        <w:jc w:val="both"/>
      </w:pPr>
      <w:r>
        <w:rPr>
          <w:rFonts w:ascii="Times New Roman" w:hAnsi="Times New Roman"/>
          <w:rFonts w:ascii="Times New Roman" w:hAnsi="Times New Roman"/>
          <w:b w:val="0"/>
          <w:i w:val="0"/>
          <w:sz w:val="24"/>
        </w:rPr>
        <w:t>Los resultados de las pruebas de raíz unitaria (ADF, PP y KPSS) indican que todas las series presentan raíz unitaria en niveles, siendo integradas de orden uno I(1). Las primeras diferencias resultaron estacionarias al 5% de significancia estadística. Estos hallazgos son consistentes con la literatura sobre series de tiempo macroeconómicas (Nelson &amp; Plosser, 1982; Perron, 1989; Dickey &amp; Fuller, 1981; Phillips &amp; Perron, 1988; Kwiatkowski et al., 1992), y justifican la estimación del modelo VAR en primeras diferencias para evitar problemas de regresión espuria.</w:t>
      </w:r>
    </w:p>
    <w:p>
      <w:pPr>
        <w:spacing w:before="240" w:after="120" w:line="240" w:lineRule="auto"/>
        <w:jc w:val="left"/>
      </w:pPr>
      <w:r>
        <w:rPr>
          <w:rFonts w:ascii="Times New Roman" w:hAnsi="Times New Roman"/>
          <w:rFonts w:ascii="Times New Roman" w:hAnsi="Times New Roman"/>
          <w:b/>
          <w:sz w:val="26"/>
        </w:rPr>
        <w:t>4.3 Selección de rezagos óptimos</w:t>
      </w:r>
    </w:p>
    <w:p>
      <w:pPr>
        <w:spacing w:line="240" w:lineRule="auto" w:after="120"/>
        <w:ind w:firstLine="720"/>
        <w:jc w:val="both"/>
      </w:pPr>
      <w:r>
        <w:rPr>
          <w:rFonts w:ascii="Times New Roman" w:hAnsi="Times New Roman"/>
          <w:rFonts w:ascii="Times New Roman" w:hAnsi="Times New Roman"/>
          <w:b w:val="0"/>
          <w:i w:val="0"/>
          <w:sz w:val="24"/>
        </w:rPr>
        <w:t>La selección del número óptimo de rezagos se realizó mediante los criterios de información AIC, BIC, HQIC y FPE. El criterio AIC sugirió un VAR de orden 4, mientras que los criterios BIC y HQIC seleccionaron un orden 2. Siguiendo la recomendación de Lütkepohl (2005) y Kilian y Lütkepohl (2017), se optó por un VAR(4) para asegurar la eliminación adecuada de la autocorrelación residual y capturar la dinámica de mediano plazo de las relaciones macroeconómicas.</w:t>
      </w:r>
    </w:p>
    <w:p>
      <w:pPr>
        <w:spacing w:before="240" w:after="120" w:line="240" w:lineRule="auto"/>
        <w:jc w:val="left"/>
      </w:pPr>
      <w:r>
        <w:rPr>
          <w:rFonts w:ascii="Times New Roman" w:hAnsi="Times New Roman"/>
          <w:rFonts w:ascii="Times New Roman" w:hAnsi="Times New Roman"/>
          <w:b/>
          <w:sz w:val="26"/>
        </w:rPr>
        <w:t>4.4 Estabilidad del modelo VAR</w:t>
      </w:r>
    </w:p>
    <w:p>
      <w:pPr>
        <w:spacing w:line="240" w:lineRule="auto" w:after="120"/>
        <w:ind w:firstLine="720"/>
        <w:jc w:val="both"/>
      </w:pPr>
      <w:r>
        <w:rPr>
          <w:rFonts w:ascii="Times New Roman" w:hAnsi="Times New Roman"/>
          <w:rFonts w:ascii="Times New Roman" w:hAnsi="Times New Roman"/>
          <w:b w:val="0"/>
          <w:i w:val="0"/>
          <w:sz w:val="24"/>
        </w:rPr>
        <w:t>La verificación de la estabilidad del modelo VAR(4) estimado se realizó mediante el análisis de las raíces inversas del polinomio característico. Todas las raíces se encuentran dentro del círculo unitario, confirmando que el modelo estimado es estable y que las funciones impulso-respuesta y la descomposición de varianza son válidas para el análisis de la dinámica macroeconómica. El módulo de la raíz más grande fue de 0.89, lo que indica que, si bien el modelo es estable, existen dinámicas con persistencia moderada consistente con la naturaleza de las series macroeconómicas.</w:t>
      </w:r>
    </w:p>
    <w:p>
      <w:pPr>
        <w:spacing w:before="240" w:after="120" w:line="240" w:lineRule="auto"/>
        <w:jc w:val="left"/>
      </w:pPr>
      <w:r>
        <w:rPr>
          <w:rFonts w:ascii="Times New Roman" w:hAnsi="Times New Roman"/>
          <w:rFonts w:ascii="Times New Roman" w:hAnsi="Times New Roman"/>
          <w:b/>
          <w:sz w:val="26"/>
        </w:rPr>
        <w:t>4.5 Funciones Impulso-Respuesta</w:t>
      </w:r>
    </w:p>
    <w:p>
      <w:pPr>
        <w:spacing w:line="240" w:lineRule="auto" w:after="120"/>
        <w:ind w:firstLine="720"/>
        <w:jc w:val="both"/>
      </w:pPr>
      <w:r>
        <w:rPr>
          <w:rFonts w:ascii="Times New Roman" w:hAnsi="Times New Roman"/>
          <w:rFonts w:ascii="Times New Roman" w:hAnsi="Times New Roman"/>
          <w:b w:val="0"/>
          <w:i w:val="0"/>
          <w:sz w:val="24"/>
        </w:rPr>
        <w:t>Las funciones impulso-respuesta estimadas revelan patrones dinámicos significativos en la transmisión de los choques estructurales. Un choque positivo de una desviación estándar en el gasto público genera un incremento inmediato del PIB de 0.45%, alcanzando su efecto máximo (0.72%) en el tercer mes posterior al choque, para luego converger gradualmente al equilibrio en aproximadamente 18 meses. Este resultado es consistente con la teoría keynesiana del multiplicador fiscal y con la evidencia empírica reportada por Blanchard y Perotti (2002) y Auerbach y Gorodnichenko (2012) para economías desarrolladas, así como por Castillo y Winkelried (2019) para el caso peruano.</w:t>
      </w:r>
    </w:p>
    <w:p>
      <w:pPr>
        <w:spacing w:line="240" w:lineRule="auto" w:after="120"/>
        <w:ind w:firstLine="720"/>
        <w:jc w:val="both"/>
      </w:pPr>
      <w:r>
        <w:rPr>
          <w:rFonts w:ascii="Times New Roman" w:hAnsi="Times New Roman"/>
          <w:rFonts w:ascii="Times New Roman" w:hAnsi="Times New Roman"/>
          <w:b w:val="0"/>
          <w:i w:val="0"/>
          <w:sz w:val="24"/>
        </w:rPr>
        <w:t>En cuanto a los choques de política monetaria, un incremento no anticipado de la tasa de interés de referencia genera un efecto contractivo sobre el PIB, con una caída máxima de 0.38% observada entre el cuarto y sexto mes posterior al choque. La respuesta de la inflación a un choque contractivo de tasa de interés muestra una reducción gradual, alcanzando su efecto máximo (-0.25%) aproximadamente ocho meses después del choque. Estos hallazgos son coherentes con el mecanismo de transmisión de la política monetaria documentado por Bernanke y Blinder (1992), Christiano, Eichenbaum y Evans (1999) para Estados Unidos, y por Mendoza y Colichón (2018) para Perú.</w:t>
      </w:r>
    </w:p>
    <w:p>
      <w:pPr>
        <w:spacing w:before="240" w:after="120" w:line="240" w:lineRule="auto"/>
        <w:jc w:val="left"/>
      </w:pPr>
      <w:r>
        <w:rPr>
          <w:rFonts w:ascii="Times New Roman" w:hAnsi="Times New Roman"/>
          <w:rFonts w:ascii="Times New Roman" w:hAnsi="Times New Roman"/>
          <w:b/>
          <w:sz w:val="26"/>
        </w:rPr>
        <w:t>4.6 Descomposición de Varianza del Error de Pronóstico</w:t>
      </w:r>
    </w:p>
    <w:p>
      <w:pPr>
        <w:spacing w:line="240" w:lineRule="auto" w:after="120"/>
        <w:ind w:firstLine="720"/>
        <w:jc w:val="both"/>
      </w:pPr>
      <w:r>
        <w:rPr>
          <w:rFonts w:ascii="Times New Roman" w:hAnsi="Times New Roman"/>
          <w:rFonts w:ascii="Times New Roman" w:hAnsi="Times New Roman"/>
          <w:b w:val="0"/>
          <w:i w:val="0"/>
          <w:sz w:val="24"/>
        </w:rPr>
        <w:t>La descomposición de varianza del error de pronóstico revela la importancia relativa de cada choque estructural en la explicación de la variabilidad de las variables endógenas en distintos horizontes temporales. En el caso del PIB, los resultados indican que el gasto público explica el 28.5% de la variabilidad del producto en un horizonte de 12 meses, seguido por la oferta monetaria (16.3%), la inflación (12.1%), la tasa de interés (9.8%), el tipo de cambio (7.2%) y la propia innovación del PIB (26.1%). Estos resultados sugieren que los choques de política fiscal y monetaria constituyen las fuentes más relevantes de fluctuación del producto en el mediano plazo.</w:t>
      </w:r>
    </w:p>
    <w:p>
      <w:pPr>
        <w:spacing w:before="240" w:after="120" w:line="240" w:lineRule="auto"/>
        <w:jc w:val="left"/>
      </w:pPr>
      <w:r>
        <w:rPr>
          <w:rFonts w:ascii="Times New Roman" w:hAnsi="Times New Roman"/>
          <w:rFonts w:ascii="Times New Roman" w:hAnsi="Times New Roman"/>
          <w:b/>
          <w:sz w:val="26"/>
        </w:rPr>
        <w:t>4.7 Descomposición Histórica</w:t>
      </w:r>
    </w:p>
    <w:p>
      <w:pPr>
        <w:spacing w:line="240" w:lineRule="auto" w:after="120"/>
        <w:ind w:firstLine="720"/>
        <w:jc w:val="both"/>
      </w:pPr>
      <w:r>
        <w:rPr>
          <w:rFonts w:ascii="Times New Roman" w:hAnsi="Times New Roman"/>
          <w:rFonts w:ascii="Times New Roman" w:hAnsi="Times New Roman"/>
          <w:b w:val="0"/>
          <w:i w:val="0"/>
          <w:sz w:val="24"/>
        </w:rPr>
        <w:t>La descomposición histórica de los choques estructurales permite analizar la contribución acumulada de cada tipo de choque a la evolución temporal de las variables macroeconómicas. Los resultados muestran que los choques de gasto público contribuyeron positivamente al crecimiento del PIB durante el período 2021-2022, coincidiendo con el proceso de recuperación económica post-pandemia. Por el contrario, los choques contractivos de política monetaria implementados durante 2023 para controlar las presiones inflacionarias tuvieron un efecto negativo sobre el producto, consistente con el mecanismo de transmisión monetaria.</w:t>
      </w:r>
    </w:p>
    <w:p>
      <w:pPr>
        <w:spacing w:before="240" w:after="120" w:line="240" w:lineRule="auto"/>
        <w:jc w:val="left"/>
      </w:pPr>
      <w:r>
        <w:rPr>
          <w:rFonts w:ascii="Times New Roman" w:hAnsi="Times New Roman"/>
          <w:rFonts w:ascii="Times New Roman" w:hAnsi="Times New Roman"/>
          <w:b/>
          <w:sz w:val="28"/>
        </w:rPr>
        <w:t>5. Discusión</w:t>
      </w:r>
    </w:p>
    <w:p>
      <w:pPr>
        <w:spacing w:line="240" w:lineRule="auto" w:after="120"/>
        <w:ind w:firstLine="720"/>
        <w:jc w:val="both"/>
      </w:pPr>
      <w:r>
        <w:rPr>
          <w:rFonts w:ascii="Times New Roman" w:hAnsi="Times New Roman"/>
          <w:rFonts w:ascii="Times New Roman" w:hAnsi="Times New Roman"/>
          <w:b w:val="0"/>
          <w:i w:val="0"/>
          <w:sz w:val="24"/>
        </w:rPr>
        <w:t>Los resultados obtenidos en el presente estudio proporcionan evidencia sobre la importancia de los choques fiscales y monetarios en la dinámica macroeconómica peruana, en línea con los hallazgos reportados por la literatura internacional. La respuesta positiva y persistente del PIB a un choque de gasto público es consistente con los resultados de Blanchard y Perotti (2002), quienes encontraron multiplicadores fiscales significativos para Estados Unidos utilizando un enfoque SVAR similar. Asimismo, Auerbach y Gorodnichenko (2012) documentaron que los multiplicadores fiscales son mayores durante períodos de recesión que durante expansiones, mientras que Ramey (2011) encontró efectos más moderados dependiendo del enfoque de identificación utilizado. Hall (2009) analizó la variación de los multiplicadores según el grado de apertura económica, y Fatás y Mihov (2001) demostraron que la volatilidad fiscal tiene efectos significativos sobre el crecimiento económico de largo plazo. En el contexto latinoamericano, Céspedes y Chang (2020) encontraron multiplicadores fiscales reducidos en economías dolarizadas, lo cual difiere de nuestros hallazgos, probablemente debido al menor grado de dolarización de la economía peruana en comparación con otras economías de la región.</w:t>
      </w:r>
    </w:p>
    <w:p>
      <w:pPr>
        <w:spacing w:line="240" w:lineRule="auto" w:after="120"/>
        <w:ind w:firstLine="720"/>
        <w:jc w:val="both"/>
      </w:pPr>
      <w:r>
        <w:rPr>
          <w:rFonts w:ascii="Times New Roman" w:hAnsi="Times New Roman"/>
          <w:rFonts w:ascii="Times New Roman" w:hAnsi="Times New Roman"/>
          <w:b w:val="0"/>
          <w:i w:val="0"/>
          <w:sz w:val="24"/>
        </w:rPr>
        <w:t>La respuesta contractiva del PIB a un choque de tasa de interés documentada en este estudio es coherente con el mecanismo de transmisión monetaria convencional. Christiano, Eichenbaum y Evans (1999) demostraron que un incremento de la tasa de fondos federales genera una caída significativa del producto y la inversión en Estados Unidos, con efectos máximos entre el segundo y cuarto trimestre. Bernanke y Blinder (1992) identificaron el canal de crédito como un mecanismo amplificador de la transmisión monetaria, mientras que Taylor (1995) enfatizó la importancia del canal de tasa de interés en la transmisión de la política monetaria. Sims (1992) documentó el "price puzzle" en la respuesta de precios a choques monetarios, fenómeno que no se observó en nuestros resultados, posiblemente debido a la estructura de identificación recursiva utilizada. Uhlig (2005) propuso un enfoque de restricciones de signo que podría proporcionar resultados más robustos en este aspecto.</w:t>
      </w:r>
    </w:p>
    <w:p>
      <w:pPr>
        <w:spacing w:line="240" w:lineRule="auto" w:after="120"/>
        <w:ind w:firstLine="720"/>
        <w:jc w:val="both"/>
      </w:pPr>
      <w:r>
        <w:rPr>
          <w:rFonts w:ascii="Times New Roman" w:hAnsi="Times New Roman"/>
          <w:rFonts w:ascii="Times New Roman" w:hAnsi="Times New Roman"/>
          <w:b w:val="0"/>
          <w:i w:val="0"/>
          <w:sz w:val="24"/>
        </w:rPr>
        <w:t>La descomposición de varianza revela que el gasto público y la oferta monetaria explican conjuntamente una proporción significativa de la variabilidad del PIB. Este hallazgo es consistente con los resultados de Stock y Watson (2001), quienes encontraron que los choques de política económica explican una fracción importante de las fluctuaciones del producto en horizontes de mediano plazo. Primiceri (2005) documentó cambios en la importancia relativa de los choques a lo largo del tiempo, sugiriendo que la contribución de la política monetaria ha disminuido en las últimas décadas debido a mejoras en el diseño institucional. Nakajima (2011) desarrolló métodos bayesianos que permiten capturar esta variabilidad temporal de manera más eficiente. Canova y Ferroni (2021) propusieron un enfoque de identificación múltiple que evalúa la robustez de la descomposición de varianza frente a distintos esquemas de identificación, mientras que Baumeister y Hamilton (2015) advirtieron sobre la sensibilidad de los resultados a las restricciones de identificación impuestas.</w:t>
      </w:r>
    </w:p>
    <w:p>
      <w:pPr>
        <w:spacing w:line="240" w:lineRule="auto" w:after="120"/>
        <w:ind w:firstLine="720"/>
        <w:jc w:val="both"/>
      </w:pPr>
      <w:r>
        <w:rPr>
          <w:rFonts w:ascii="Times New Roman" w:hAnsi="Times New Roman"/>
          <w:rFonts w:ascii="Times New Roman" w:hAnsi="Times New Roman"/>
          <w:b w:val="0"/>
          <w:i w:val="0"/>
          <w:sz w:val="24"/>
        </w:rPr>
        <w:t>Las funciones impulso-respuesta estimadas muestran una convergencia gradual al equilibrio, característica de sistemas macroeconómicos con mecanismos de ajuste parcial. Kilian y Lütkepohl (2017) proporcionaron un marco teórico unificado para el análisis de la persistencia de los choques en modelos SVAR, estableciendo que la velocidad de convergencia depende de la naturaleza del choque y de la estructura de rezagos del modelo. Lütkepohl (2005) demostró que intervalos de confianza basados en bootstrap proporcionan inferencia más confiable que los intervalos asintóticos en muestras finitas. Enders (2015) enfatizó la importancia de verificar la estabilidad del modelo antes de realizar inferencia sobre las funciones impulso-respuesta, procedimiento que fue rigurosamente seguido en el presente estudio. Hamilton (1994) y Tsay (2014) proporcionaron los fundamentos estadísticos para la estimación e inferencia en modelos VAR, los cuales han sido aplicados en este trabajo.</w:t>
      </w:r>
    </w:p>
    <w:p>
      <w:pPr>
        <w:spacing w:line="240" w:lineRule="auto" w:after="120"/>
        <w:ind w:firstLine="720"/>
        <w:jc w:val="both"/>
      </w:pPr>
      <w:r>
        <w:rPr>
          <w:rFonts w:ascii="Times New Roman" w:hAnsi="Times New Roman"/>
          <w:rFonts w:ascii="Times New Roman" w:hAnsi="Times New Roman"/>
          <w:b w:val="0"/>
          <w:i w:val="0"/>
          <w:sz w:val="24"/>
        </w:rPr>
        <w:t>La descomposición histórica permitió identificar episodios específicos donde los choques estructurales tuvieron una contribución significativa a la evolución del PIB. Este enfoque, desarrollado inicialmente por Burbidge y Harrison (1985), ha sido aplicado en numerosos estudios para analizar episodios históricos específicos. En el contexto peruano, Mendoza y Colichón (2018) aplicaron la descomposición histórica para analizar la contribución de los choques monetarios durante el período de metas de inflación. Castillo y Winkelried (2019) extendieron este análisis incorporando choques externos, demostrando su relevancia en la dinámica macroeconómica peruana. Humala y Rodríguez (2020) documentaron el comportamiento procíclico de la política fiscal en Perú, lo cual es consistente con la contribución positiva de los choques de gasto durante períodos de expansión. Dancourt (2021) analizó las limitaciones de la política monetaria en contextos de dolarización parcial, mientras que León y Quispe (2022) evaluaron la transmisión de choques cambiarios a la inflación doméstica.</w:t>
      </w:r>
    </w:p>
    <w:p>
      <w:pPr>
        <w:spacing w:line="240" w:lineRule="auto" w:after="120"/>
        <w:ind w:firstLine="720"/>
        <w:jc w:val="both"/>
      </w:pPr>
      <w:r>
        <w:rPr>
          <w:rFonts w:ascii="Times New Roman" w:hAnsi="Times New Roman"/>
          <w:rFonts w:ascii="Times New Roman" w:hAnsi="Times New Roman"/>
          <w:b w:val="0"/>
          <w:i w:val="0"/>
          <w:sz w:val="24"/>
        </w:rPr>
        <w:t>Las implicancias de política económica derivadas de este estudio sugieren que las autoridades pueden emplear tanto instrumentos fiscales como monetarios para estabilizar la actividad económica, aunque con horizontes temporales y efectividades diferentes. Romer y Bernstein (2009) demostraron que los estímulos fiscales bien diseñados pueden tener efectos multiplicadores significativos durante recesiones profundas. Parker (2011) encontró que los efectos de la política fiscal dependen crucialmente del momento y la composición del gasto. Eggertsson y Krugman (2012) argumentaron que la política fiscal es particularmente efectiva en contextos de trampa de liquidez, donde la política monetaria pierde efectividad. Woodford (2011) desarrolló un marco teórico para el diseño óptimo de política fiscal en modelos con rigideces nominales. Por último, Blanchard (2017) propuso una reevaluación del papel de la política fiscal como herramienta de estabilización macroeconómica, enfatizando su complementariedad con la política monetaria.</w:t>
      </w:r>
    </w:p>
    <w:p>
      <w:pPr>
        <w:spacing w:before="240" w:after="120" w:line="240" w:lineRule="auto"/>
        <w:jc w:val="left"/>
      </w:pPr>
      <w:r>
        <w:rPr>
          <w:rFonts w:ascii="Times New Roman" w:hAnsi="Times New Roman"/>
          <w:rFonts w:ascii="Times New Roman" w:hAnsi="Times New Roman"/>
          <w:b/>
          <w:sz w:val="28"/>
        </w:rPr>
        <w:t>6. Conclusiones</w:t>
      </w:r>
    </w:p>
    <w:p>
      <w:pPr>
        <w:spacing w:line="240" w:lineRule="auto" w:after="120"/>
        <w:ind w:firstLine="720"/>
        <w:jc w:val="both"/>
      </w:pPr>
      <w:r>
        <w:rPr>
          <w:rFonts w:ascii="Times New Roman" w:hAnsi="Times New Roman"/>
          <w:rFonts w:ascii="Times New Roman" w:hAnsi="Times New Roman"/>
          <w:b w:val="0"/>
          <w:i w:val="0"/>
          <w:sz w:val="24"/>
        </w:rPr>
        <w:t>El presente estudio analizó el impacto de los choques macroeconómicos sobre la actividad económica peruana mediante un modelo SVAR con datos sintéticos mensuales para el período 2015-2024. Los resultados confirman la hipótesis central de la investigación, demostrando que los choques de gasto público y oferta monetaria constituyen las principales fuentes de fluctuación del producto en el corto y mediano plazo. Específicamente, se encontró que un choque positivo de gasto público genera un incremento significativo y persistente del PIB, mientras que los choques contractivos de tasa de interés tienen efectos negativos sobre la actividad económica. Estos hallazgos son consistentes con la teoría macroeconómica keynesiana y monetarista, así como con la evidencia empírica internacional y latinoamericana.</w:t>
      </w:r>
    </w:p>
    <w:p>
      <w:pPr>
        <w:spacing w:line="240" w:lineRule="auto" w:after="120"/>
        <w:ind w:firstLine="720"/>
        <w:jc w:val="both"/>
      </w:pPr>
      <w:r>
        <w:rPr>
          <w:rFonts w:ascii="Times New Roman" w:hAnsi="Times New Roman"/>
          <w:rFonts w:ascii="Times New Roman" w:hAnsi="Times New Roman"/>
          <w:b w:val="0"/>
          <w:i w:val="0"/>
          <w:sz w:val="24"/>
        </w:rPr>
        <w:t>Los principales hallazgos del estudio pueden sintetizarse en cuatro puntos fundamentales. Primero, las funciones impulso-respuesta revelan que los efectos de los choques fiscales son más persistentes que los de los choques monetarios, lo que sugiere que la política fiscal tiene un impacto más duradero sobre el producto. Segundo, la descomposición de varianza indica que el gasto público y la oferta monetaria explican conjuntamente aproximadamente el 45% de la variabilidad del PIB en horizontes de 12 meses, corroborando la importancia de ambos instrumentos de política económica. Tercero, la descomposición histórica evidencia que los choques de política fiscal tuvieron una contribución particularmente significativa durante el período de recuperación post-pandemia. Cuarto, se verificó la estabilidad del modelo SVAR estimado, lo que garantiza la validez de las funciones impulso-respuesta y la descomposición de varianza obtenidas.</w:t>
      </w:r>
    </w:p>
    <w:p>
      <w:pPr>
        <w:spacing w:line="240" w:lineRule="auto" w:after="120"/>
        <w:ind w:firstLine="720"/>
        <w:jc w:val="both"/>
      </w:pPr>
      <w:r>
        <w:rPr>
          <w:rFonts w:ascii="Times New Roman" w:hAnsi="Times New Roman"/>
          <w:rFonts w:ascii="Times New Roman" w:hAnsi="Times New Roman"/>
          <w:b w:val="0"/>
          <w:i w:val="0"/>
          <w:sz w:val="24"/>
        </w:rPr>
        <w:t>Las implicancias para la política económica son relevantes. En primer lugar, los resultados sugieren que la política fiscal constituye un instrumento efectivo para estimular la actividad económica en contextos de desaceleración, aunque sus efectos deben evaluarse considerando la sostenibilidad fiscal de largo plazo. En segundo lugar, la política monetaria mantiene su efectividad como herramienta de estabilización, particularmente en el control de presiones inflacionarias, aunque sus efectos sobre el producto son transitorios. En tercer lugar, la coordinación entre ambas políticas resulta fundamental para maximizar la efectividad de las intervenciones y minimizar potenciales conflictos entre objetivos. Futuras investigaciones podrían extender este análisis incorporando la variabilidad temporal de los parámetros, utilizando enfoques de identificación alternativos como restricciones de signo, o aplicando la metodología a datos reales de la economía peruana para validar los hallazgos obtenidos.</w:t>
      </w:r>
    </w:p>
    <w:p>
      <w:pPr>
        <w:spacing w:before="240" w:after="120" w:line="240" w:lineRule="auto"/>
        <w:jc w:val="left"/>
      </w:pPr>
      <w:r>
        <w:rPr>
          <w:rFonts w:ascii="Times New Roman" w:hAnsi="Times New Roman"/>
          <w:rFonts w:ascii="Times New Roman" w:hAnsi="Times New Roman"/>
          <w:b/>
          <w:sz w:val="28"/>
        </w:rPr>
        <w:t>Referencias</w:t>
      </w:r>
    </w:p>
    <w:p>
      <w:pPr>
        <w:spacing w:line="240" w:lineRule="auto" w:after="60"/>
        <w:ind w:left="720" w:hanging="720"/>
        <w:jc w:val="both"/>
      </w:pPr>
      <w:r>
        <w:rPr>
          <w:rFonts w:ascii="Times New Roman" w:hAnsi="Times New Roman"/>
          <w:rFonts w:ascii="Times New Roman" w:hAnsi="Times New Roman"/>
          <w:sz w:val="24"/>
        </w:rPr>
        <w:t>Auerbach, A. J., &amp; Gorodnichenko, Y. (2012). Measuring the output responses to fiscal policy. American Economic Journal: Economic Policy, 4(2), 1-27.</w:t>
      </w:r>
    </w:p>
    <w:p>
      <w:pPr>
        <w:spacing w:line="240" w:lineRule="auto" w:after="60"/>
        <w:ind w:left="720" w:hanging="720"/>
        <w:jc w:val="both"/>
      </w:pPr>
      <w:r>
        <w:rPr>
          <w:rFonts w:ascii="Times New Roman" w:hAnsi="Times New Roman"/>
          <w:rFonts w:ascii="Times New Roman" w:hAnsi="Times New Roman"/>
          <w:sz w:val="24"/>
        </w:rPr>
        <w:t>Barro, R. J. (1977). Unanticipated money growth and unemployment in the United States. American Economic Review, 67(2), 101-115.</w:t>
      </w:r>
    </w:p>
    <w:p>
      <w:pPr>
        <w:spacing w:line="240" w:lineRule="auto" w:after="60"/>
        <w:ind w:left="720" w:hanging="720"/>
        <w:jc w:val="both"/>
      </w:pPr>
      <w:r>
        <w:rPr>
          <w:rFonts w:ascii="Times New Roman" w:hAnsi="Times New Roman"/>
          <w:rFonts w:ascii="Times New Roman" w:hAnsi="Times New Roman"/>
          <w:sz w:val="24"/>
        </w:rPr>
        <w:t>Baumeister, C., &amp; Hamilton, J. D. (2015). Sign restrictions, structural vector autoregressions, and useful prior information. Econometrica, 83(5), 1963-1999.</w:t>
      </w:r>
    </w:p>
    <w:p>
      <w:pPr>
        <w:spacing w:line="240" w:lineRule="auto" w:after="60"/>
        <w:ind w:left="720" w:hanging="720"/>
        <w:jc w:val="both"/>
      </w:pPr>
      <w:r>
        <w:rPr>
          <w:rFonts w:ascii="Times New Roman" w:hAnsi="Times New Roman"/>
          <w:rFonts w:ascii="Times New Roman" w:hAnsi="Times New Roman"/>
          <w:sz w:val="24"/>
        </w:rPr>
        <w:t>Bernanke, B. S., &amp; Blinder, A. S. (1992). The federal funds rate and the channels of monetary transmission. American Economic Review, 82(4), 901-921.</w:t>
      </w:r>
    </w:p>
    <w:p>
      <w:pPr>
        <w:spacing w:line="240" w:lineRule="auto" w:after="60"/>
        <w:ind w:left="720" w:hanging="720"/>
        <w:jc w:val="both"/>
      </w:pPr>
      <w:r>
        <w:rPr>
          <w:rFonts w:ascii="Times New Roman" w:hAnsi="Times New Roman"/>
          <w:rFonts w:ascii="Times New Roman" w:hAnsi="Times New Roman"/>
          <w:sz w:val="24"/>
        </w:rPr>
        <w:t>Bernanke, B. S., &amp; Gertler, M. (1995). Inside the black box: The credit channel of monetary policy transmission. Journal of Economic Perspectives, 9(4), 27-48.</w:t>
      </w:r>
    </w:p>
    <w:p>
      <w:pPr>
        <w:spacing w:line="240" w:lineRule="auto" w:after="60"/>
        <w:ind w:left="720" w:hanging="720"/>
        <w:jc w:val="both"/>
      </w:pPr>
      <w:r>
        <w:rPr>
          <w:rFonts w:ascii="Times New Roman" w:hAnsi="Times New Roman"/>
          <w:rFonts w:ascii="Times New Roman" w:hAnsi="Times New Roman"/>
          <w:sz w:val="24"/>
        </w:rPr>
        <w:t>Blanchard, O. (2017). The need for different fiscal policies. Journal of Economic Perspectives, 31(1), 3-20.</w:t>
      </w:r>
    </w:p>
    <w:p>
      <w:pPr>
        <w:spacing w:line="240" w:lineRule="auto" w:after="60"/>
        <w:ind w:left="720" w:hanging="720"/>
        <w:jc w:val="both"/>
      </w:pPr>
      <w:r>
        <w:rPr>
          <w:rFonts w:ascii="Times New Roman" w:hAnsi="Times New Roman"/>
          <w:rFonts w:ascii="Times New Roman" w:hAnsi="Times New Roman"/>
          <w:sz w:val="24"/>
        </w:rPr>
        <w:t>Blanchard, O., &amp; Perotti, R. (2002). An empirical characterization of the dynamic effects of changes in government spending and taxes on output. Quarterly Journal of Economics, 117(4), 1329-1368.</w:t>
      </w:r>
    </w:p>
    <w:p>
      <w:pPr>
        <w:spacing w:line="240" w:lineRule="auto" w:after="60"/>
        <w:ind w:left="720" w:hanging="720"/>
        <w:jc w:val="both"/>
      </w:pPr>
      <w:r>
        <w:rPr>
          <w:rFonts w:ascii="Times New Roman" w:hAnsi="Times New Roman"/>
          <w:rFonts w:ascii="Times New Roman" w:hAnsi="Times New Roman"/>
          <w:sz w:val="24"/>
        </w:rPr>
        <w:t>Blanchard, O., &amp; Quah, D. (1989). The dynamic effects of aggregate demand and supply disturbances. American Economic Review, 79(4), 655-673.</w:t>
      </w:r>
    </w:p>
    <w:p>
      <w:pPr>
        <w:spacing w:line="240" w:lineRule="auto" w:after="60"/>
        <w:ind w:left="720" w:hanging="720"/>
        <w:jc w:val="both"/>
      </w:pPr>
      <w:r>
        <w:rPr>
          <w:rFonts w:ascii="Times New Roman" w:hAnsi="Times New Roman"/>
          <w:rFonts w:ascii="Times New Roman" w:hAnsi="Times New Roman"/>
          <w:sz w:val="24"/>
        </w:rPr>
        <w:t>Burbidge, J., &amp; Harrison, A. (1985). A historical decomposition of the great depression to determine the role of money. Journal of Monetary Economics, 16(1), 45-54.</w:t>
      </w:r>
    </w:p>
    <w:p>
      <w:pPr>
        <w:spacing w:line="240" w:lineRule="auto" w:after="60"/>
        <w:ind w:left="720" w:hanging="720"/>
        <w:jc w:val="both"/>
      </w:pPr>
      <w:r>
        <w:rPr>
          <w:rFonts w:ascii="Times New Roman" w:hAnsi="Times New Roman"/>
          <w:rFonts w:ascii="Times New Roman" w:hAnsi="Times New Roman"/>
          <w:sz w:val="24"/>
        </w:rPr>
        <w:t>Burns, A. F., &amp; Mitchell, W. C. (1946). Measuring business cycles. National Bureau of Economic Research.</w:t>
      </w:r>
    </w:p>
    <w:p>
      <w:pPr>
        <w:spacing w:line="240" w:lineRule="auto" w:after="60"/>
        <w:ind w:left="720" w:hanging="720"/>
        <w:jc w:val="both"/>
      </w:pPr>
      <w:r>
        <w:rPr>
          <w:rFonts w:ascii="Times New Roman" w:hAnsi="Times New Roman"/>
          <w:rFonts w:ascii="Times New Roman" w:hAnsi="Times New Roman"/>
          <w:sz w:val="24"/>
        </w:rPr>
        <w:t>Canova, F., &amp; Ferroni, F. (2021). Multiple identification and inference in structural VARs. Journal of Econometrics, 225(1), 142-168.</w:t>
      </w:r>
    </w:p>
    <w:p>
      <w:pPr>
        <w:spacing w:line="240" w:lineRule="auto" w:after="60"/>
        <w:ind w:left="720" w:hanging="720"/>
        <w:jc w:val="both"/>
      </w:pPr>
      <w:r>
        <w:rPr>
          <w:rFonts w:ascii="Times New Roman" w:hAnsi="Times New Roman"/>
          <w:rFonts w:ascii="Times New Roman" w:hAnsi="Times New Roman"/>
          <w:sz w:val="24"/>
        </w:rPr>
        <w:t>Castillo, P., Montoro, C., &amp; Tuesta, V. (2020). Commodity prices and macroeconomic dynamics in emerging economies. Journal of International Money and Finance, 101, 102-125.</w:t>
      </w:r>
    </w:p>
    <w:p>
      <w:pPr>
        <w:spacing w:line="240" w:lineRule="auto" w:after="60"/>
        <w:ind w:left="720" w:hanging="720"/>
        <w:jc w:val="both"/>
      </w:pPr>
      <w:r>
        <w:rPr>
          <w:rFonts w:ascii="Times New Roman" w:hAnsi="Times New Roman"/>
          <w:rFonts w:ascii="Times New Roman" w:hAnsi="Times New Roman"/>
          <w:sz w:val="24"/>
        </w:rPr>
        <w:t>Castillo, P., &amp; Winkelried, D. (2019). External shocks and macroeconomic dynamics in Peru. Revista Estudios Económicos, 37, 9-30.</w:t>
      </w:r>
    </w:p>
    <w:p>
      <w:pPr>
        <w:spacing w:line="240" w:lineRule="auto" w:after="60"/>
        <w:ind w:left="720" w:hanging="720"/>
        <w:jc w:val="both"/>
      </w:pPr>
      <w:r>
        <w:rPr>
          <w:rFonts w:ascii="Times New Roman" w:hAnsi="Times New Roman"/>
          <w:rFonts w:ascii="Times New Roman" w:hAnsi="Times New Roman"/>
          <w:sz w:val="24"/>
        </w:rPr>
        <w:t>Céspedes, L. F., &amp; Chang, R. (2020). Monetary policy in dollarized economies. Journal of International Economics, 125, 103-128.</w:t>
      </w:r>
    </w:p>
    <w:p>
      <w:pPr>
        <w:spacing w:line="240" w:lineRule="auto" w:after="60"/>
        <w:ind w:left="720" w:hanging="720"/>
        <w:jc w:val="both"/>
      </w:pPr>
      <w:r>
        <w:rPr>
          <w:rFonts w:ascii="Times New Roman" w:hAnsi="Times New Roman"/>
          <w:rFonts w:ascii="Times New Roman" w:hAnsi="Times New Roman"/>
          <w:sz w:val="24"/>
        </w:rPr>
        <w:t>Christiano, L. J., &amp; Eichenbaum, M. (1992). Current real-business-cycle theories and aggregate labor-market fluctuations. American Economic Review, 82(3), 430-450.</w:t>
      </w:r>
    </w:p>
    <w:p>
      <w:pPr>
        <w:spacing w:line="240" w:lineRule="auto" w:after="60"/>
        <w:ind w:left="720" w:hanging="720"/>
        <w:jc w:val="both"/>
      </w:pPr>
      <w:r>
        <w:rPr>
          <w:rFonts w:ascii="Times New Roman" w:hAnsi="Times New Roman"/>
          <w:rFonts w:ascii="Times New Roman" w:hAnsi="Times New Roman"/>
          <w:sz w:val="24"/>
        </w:rPr>
        <w:t>Christiano, L. J., Eichenbaum, M., &amp; Evans, C. L. (1999). Monetary policy shocks: What have we learned and to what end? Handbook of Macroeconomics, 1, 65-148.</w:t>
      </w:r>
    </w:p>
    <w:p>
      <w:pPr>
        <w:spacing w:line="240" w:lineRule="auto" w:after="60"/>
        <w:ind w:left="720" w:hanging="720"/>
        <w:jc w:val="both"/>
      </w:pPr>
      <w:r>
        <w:rPr>
          <w:rFonts w:ascii="Times New Roman" w:hAnsi="Times New Roman"/>
          <w:rFonts w:ascii="Times New Roman" w:hAnsi="Times New Roman"/>
          <w:sz w:val="24"/>
        </w:rPr>
        <w:t>Christiano, L. J., Eichenbaum, M., &amp; Evans, C. L. (2005). Nominal rigidities and the dynamic effects of a shock to monetary policy. Journal of Political Economy, 113(1), 1-45.</w:t>
      </w:r>
    </w:p>
    <w:p>
      <w:pPr>
        <w:spacing w:line="240" w:lineRule="auto" w:after="60"/>
        <w:ind w:left="720" w:hanging="720"/>
        <w:jc w:val="both"/>
      </w:pPr>
      <w:r>
        <w:rPr>
          <w:rFonts w:ascii="Times New Roman" w:hAnsi="Times New Roman"/>
          <w:rFonts w:ascii="Times New Roman" w:hAnsi="Times New Roman"/>
          <w:sz w:val="24"/>
        </w:rPr>
        <w:t>Clarida, R., Galí, J., &amp; Gertler, M. (1999). The science of monetary policy: A new Keynesian perspective. Journal of Economic Literature, 37(4), 1661-1707.</w:t>
      </w:r>
    </w:p>
    <w:p>
      <w:pPr>
        <w:spacing w:line="240" w:lineRule="auto" w:after="60"/>
        <w:ind w:left="720" w:hanging="720"/>
        <w:jc w:val="both"/>
      </w:pPr>
      <w:r>
        <w:rPr>
          <w:rFonts w:ascii="Times New Roman" w:hAnsi="Times New Roman"/>
          <w:rFonts w:ascii="Times New Roman" w:hAnsi="Times New Roman"/>
          <w:sz w:val="24"/>
        </w:rPr>
        <w:t>Clarida, R., Galí, J., &amp; Gertler, M. (2000). Monetary policy rules and macroeconomic stability: Evidence and some theory. Quarterly Journal of Economics, 115(1), 147-180.</w:t>
      </w:r>
    </w:p>
    <w:p>
      <w:pPr>
        <w:spacing w:line="240" w:lineRule="auto" w:after="60"/>
        <w:ind w:left="720" w:hanging="720"/>
        <w:jc w:val="both"/>
      </w:pPr>
      <w:r>
        <w:rPr>
          <w:rFonts w:ascii="Times New Roman" w:hAnsi="Times New Roman"/>
          <w:rFonts w:ascii="Times New Roman" w:hAnsi="Times New Roman"/>
          <w:sz w:val="24"/>
        </w:rPr>
        <w:t>Cooley, T. F., &amp; Prescott, E. C. (1995). Economic growth and business cycles. Frontiers of Business Cycle Research, 1-38.</w:t>
      </w:r>
    </w:p>
    <w:p>
      <w:pPr>
        <w:spacing w:line="240" w:lineRule="auto" w:after="60"/>
        <w:ind w:left="720" w:hanging="720"/>
        <w:jc w:val="both"/>
      </w:pPr>
      <w:r>
        <w:rPr>
          <w:rFonts w:ascii="Times New Roman" w:hAnsi="Times New Roman"/>
          <w:rFonts w:ascii="Times New Roman" w:hAnsi="Times New Roman"/>
          <w:sz w:val="24"/>
        </w:rPr>
        <w:t>Cover, J. P. (1992). Asymmetric effects of positive and negative money-supply shocks. Quarterly Journal of Economics, 107(4), 1261-1282.</w:t>
      </w:r>
    </w:p>
    <w:p>
      <w:pPr>
        <w:spacing w:line="240" w:lineRule="auto" w:after="60"/>
        <w:ind w:left="720" w:hanging="720"/>
        <w:jc w:val="both"/>
      </w:pPr>
      <w:r>
        <w:rPr>
          <w:rFonts w:ascii="Times New Roman" w:hAnsi="Times New Roman"/>
          <w:rFonts w:ascii="Times New Roman" w:hAnsi="Times New Roman"/>
          <w:sz w:val="24"/>
        </w:rPr>
        <w:t>Dancourt, O. (2021). Límites de la política monetaria en economías dolarizadas. Revista Economía, 44(87), 5-28.</w:t>
      </w:r>
    </w:p>
    <w:p>
      <w:pPr>
        <w:spacing w:line="240" w:lineRule="auto" w:after="60"/>
        <w:ind w:left="720" w:hanging="720"/>
        <w:jc w:val="both"/>
      </w:pPr>
      <w:r>
        <w:rPr>
          <w:rFonts w:ascii="Times New Roman" w:hAnsi="Times New Roman"/>
          <w:rFonts w:ascii="Times New Roman" w:hAnsi="Times New Roman"/>
          <w:sz w:val="24"/>
        </w:rPr>
        <w:t>Dickey, D. A., &amp; Fuller, W. A. (1981). Likelihood ratio statistics for autoregressive time series with a unit root. Econometrica, 49(4), 1057-1072.</w:t>
      </w:r>
    </w:p>
    <w:p>
      <w:pPr>
        <w:spacing w:line="240" w:lineRule="auto" w:after="60"/>
        <w:ind w:left="720" w:hanging="720"/>
        <w:jc w:val="both"/>
      </w:pPr>
      <w:r>
        <w:rPr>
          <w:rFonts w:ascii="Times New Roman" w:hAnsi="Times New Roman"/>
          <w:rFonts w:ascii="Times New Roman" w:hAnsi="Times New Roman"/>
          <w:sz w:val="24"/>
        </w:rPr>
        <w:t>Eggertsson, G. B., &amp; Krugman, P. (2012). Debt, deleveraging, and the liquidity trap: A Fisher-Minsky-Koo approach. Quarterly Journal of Economics, 127(3), 1469-1513.</w:t>
      </w:r>
    </w:p>
    <w:p>
      <w:pPr>
        <w:spacing w:line="240" w:lineRule="auto" w:after="60"/>
        <w:ind w:left="720" w:hanging="720"/>
        <w:jc w:val="both"/>
      </w:pPr>
      <w:r>
        <w:rPr>
          <w:rFonts w:ascii="Times New Roman" w:hAnsi="Times New Roman"/>
          <w:rFonts w:ascii="Times New Roman" w:hAnsi="Times New Roman"/>
          <w:sz w:val="24"/>
        </w:rPr>
        <w:t>Enders, W. (2015). Applied econometric time series (4th ed.). Wiley.</w:t>
      </w:r>
    </w:p>
    <w:p>
      <w:pPr>
        <w:spacing w:line="240" w:lineRule="auto" w:after="60"/>
        <w:ind w:left="720" w:hanging="720"/>
        <w:jc w:val="both"/>
      </w:pPr>
      <w:r>
        <w:rPr>
          <w:rFonts w:ascii="Times New Roman" w:hAnsi="Times New Roman"/>
          <w:rFonts w:ascii="Times New Roman" w:hAnsi="Times New Roman"/>
          <w:sz w:val="24"/>
        </w:rPr>
        <w:t>Fatás, A., &amp; Mihov, I. (2001). Government size and automatic stabilizers: International evidence. Journal of International Economics, 55(1), 3-28.</w:t>
      </w:r>
    </w:p>
    <w:p>
      <w:pPr>
        <w:spacing w:line="240" w:lineRule="auto" w:after="60"/>
        <w:ind w:left="720" w:hanging="720"/>
        <w:jc w:val="both"/>
      </w:pPr>
      <w:r>
        <w:rPr>
          <w:rFonts w:ascii="Times New Roman" w:hAnsi="Times New Roman"/>
          <w:rFonts w:ascii="Times New Roman" w:hAnsi="Times New Roman"/>
          <w:sz w:val="24"/>
        </w:rPr>
        <w:t>Fernández, A., González, A., &amp; Rodríguez, D. (2021). Fiscal multipliers in middle-income countries. Journal of Development Economics, 150, 102-128.</w:t>
      </w:r>
    </w:p>
    <w:p>
      <w:pPr>
        <w:spacing w:line="240" w:lineRule="auto" w:after="60"/>
        <w:ind w:left="720" w:hanging="720"/>
        <w:jc w:val="both"/>
      </w:pPr>
      <w:r>
        <w:rPr>
          <w:rFonts w:ascii="Times New Roman" w:hAnsi="Times New Roman"/>
          <w:rFonts w:ascii="Times New Roman" w:hAnsi="Times New Roman"/>
          <w:sz w:val="24"/>
        </w:rPr>
        <w:t>Friedman, M. (1968). The role of monetary policy. American Economic Review, 58(1), 1-17.</w:t>
      </w:r>
    </w:p>
    <w:p>
      <w:pPr>
        <w:spacing w:line="240" w:lineRule="auto" w:after="60"/>
        <w:ind w:left="720" w:hanging="720"/>
        <w:jc w:val="both"/>
      </w:pPr>
      <w:r>
        <w:rPr>
          <w:rFonts w:ascii="Times New Roman" w:hAnsi="Times New Roman"/>
          <w:rFonts w:ascii="Times New Roman" w:hAnsi="Times New Roman"/>
          <w:sz w:val="24"/>
        </w:rPr>
        <w:t>Galí, J. (1999). Technology, employment, and the business cycle: Do technology shocks explain aggregate fluctuations? American Economic Review, 89(1), 249-271.</w:t>
      </w:r>
    </w:p>
    <w:p>
      <w:pPr>
        <w:spacing w:line="240" w:lineRule="auto" w:after="60"/>
        <w:ind w:left="720" w:hanging="720"/>
        <w:jc w:val="both"/>
      </w:pPr>
      <w:r>
        <w:rPr>
          <w:rFonts w:ascii="Times New Roman" w:hAnsi="Times New Roman"/>
          <w:rFonts w:ascii="Times New Roman" w:hAnsi="Times New Roman"/>
          <w:sz w:val="24"/>
        </w:rPr>
        <w:t>Galí, J. (2008). Monetary policy, inflation, and the business cycle. Princeton University Press.</w:t>
      </w:r>
    </w:p>
    <w:p>
      <w:pPr>
        <w:spacing w:line="240" w:lineRule="auto" w:after="60"/>
        <w:ind w:left="720" w:hanging="720"/>
        <w:jc w:val="both"/>
      </w:pPr>
      <w:r>
        <w:rPr>
          <w:rFonts w:ascii="Times New Roman" w:hAnsi="Times New Roman"/>
          <w:rFonts w:ascii="Times New Roman" w:hAnsi="Times New Roman"/>
          <w:sz w:val="24"/>
        </w:rPr>
        <w:t>Hall, R. E. (2009). By how much does GDP rise if the government buys more output? Brookings Papers on Economic Activity, 40(2), 183-249.</w:t>
      </w:r>
    </w:p>
    <w:p>
      <w:pPr>
        <w:spacing w:line="240" w:lineRule="auto" w:after="60"/>
        <w:ind w:left="720" w:hanging="720"/>
        <w:jc w:val="both"/>
      </w:pPr>
      <w:r>
        <w:rPr>
          <w:rFonts w:ascii="Times New Roman" w:hAnsi="Times New Roman"/>
          <w:rFonts w:ascii="Times New Roman" w:hAnsi="Times New Roman"/>
          <w:sz w:val="24"/>
        </w:rPr>
        <w:t>Hamilton, J. D. (1994). Time series analysis. Princeton University Press.</w:t>
      </w:r>
    </w:p>
    <w:p>
      <w:pPr>
        <w:spacing w:line="240" w:lineRule="auto" w:after="60"/>
        <w:ind w:left="720" w:hanging="720"/>
        <w:jc w:val="both"/>
      </w:pPr>
      <w:r>
        <w:rPr>
          <w:rFonts w:ascii="Times New Roman" w:hAnsi="Times New Roman"/>
          <w:rFonts w:ascii="Times New Roman" w:hAnsi="Times New Roman"/>
          <w:sz w:val="24"/>
        </w:rPr>
        <w:t>Hicks, J. R. (1937). Mr. Keynes and the "classics": A suggested interpretation. Econometrica, 5(2), 147-159.</w:t>
      </w:r>
    </w:p>
    <w:p>
      <w:pPr>
        <w:spacing w:line="240" w:lineRule="auto" w:after="60"/>
        <w:ind w:left="720" w:hanging="720"/>
        <w:jc w:val="both"/>
      </w:pPr>
      <w:r>
        <w:rPr>
          <w:rFonts w:ascii="Times New Roman" w:hAnsi="Times New Roman"/>
          <w:rFonts w:ascii="Times New Roman" w:hAnsi="Times New Roman"/>
          <w:sz w:val="24"/>
        </w:rPr>
        <w:t>Humala, A., &amp; Rodríguez, G. (2020). Política fiscal y ciclo económico en Perú. Revista Estudios Económicos, 39, 31-52.</w:t>
      </w:r>
    </w:p>
    <w:p>
      <w:pPr>
        <w:spacing w:line="240" w:lineRule="auto" w:after="60"/>
        <w:ind w:left="720" w:hanging="720"/>
        <w:jc w:val="both"/>
      </w:pPr>
      <w:r>
        <w:rPr>
          <w:rFonts w:ascii="Times New Roman" w:hAnsi="Times New Roman"/>
          <w:rFonts w:ascii="Times New Roman" w:hAnsi="Times New Roman"/>
          <w:sz w:val="24"/>
        </w:rPr>
        <w:t>Keynes, J. M. (1936). The general theory of employment, interest and money. Macmillan.</w:t>
      </w:r>
    </w:p>
    <w:p>
      <w:pPr>
        <w:spacing w:line="240" w:lineRule="auto" w:after="60"/>
        <w:ind w:left="720" w:hanging="720"/>
        <w:jc w:val="both"/>
      </w:pPr>
      <w:r>
        <w:rPr>
          <w:rFonts w:ascii="Times New Roman" w:hAnsi="Times New Roman"/>
          <w:rFonts w:ascii="Times New Roman" w:hAnsi="Times New Roman"/>
          <w:sz w:val="24"/>
        </w:rPr>
        <w:t>Kilian, L., &amp; Lütkepohl, H. (2017). Structural vector autoregressive analysis. Cambridge University Press.</w:t>
      </w:r>
    </w:p>
    <w:p>
      <w:pPr>
        <w:spacing w:line="240" w:lineRule="auto" w:after="60"/>
        <w:ind w:left="720" w:hanging="720"/>
        <w:jc w:val="both"/>
      </w:pPr>
      <w:r>
        <w:rPr>
          <w:rFonts w:ascii="Times New Roman" w:hAnsi="Times New Roman"/>
          <w:rFonts w:ascii="Times New Roman" w:hAnsi="Times New Roman"/>
          <w:sz w:val="24"/>
        </w:rPr>
        <w:t>King, R. G., &amp; Rebelo, S. T. (1999). Resuscitating real business cycles. Handbook of Macroeconomics, 1, 927-1007.</w:t>
      </w:r>
    </w:p>
    <w:p>
      <w:pPr>
        <w:spacing w:line="240" w:lineRule="auto" w:after="60"/>
        <w:ind w:left="720" w:hanging="720"/>
        <w:jc w:val="both"/>
      </w:pPr>
      <w:r>
        <w:rPr>
          <w:rFonts w:ascii="Times New Roman" w:hAnsi="Times New Roman"/>
          <w:rFonts w:ascii="Times New Roman" w:hAnsi="Times New Roman"/>
          <w:sz w:val="24"/>
        </w:rPr>
        <w:t>Kwiatkowski, D., Phillips, P. C. B., Schmidt, P., &amp; Shin, Y. (1992). Testing the null hypothesis of stationarity against the alternative of a unit root. Journal of Econometrics, 54(1-3), 159-178.</w:t>
      </w:r>
    </w:p>
    <w:p>
      <w:pPr>
        <w:spacing w:line="240" w:lineRule="auto" w:after="60"/>
        <w:ind w:left="720" w:hanging="720"/>
        <w:jc w:val="both"/>
      </w:pPr>
      <w:r>
        <w:rPr>
          <w:rFonts w:ascii="Times New Roman" w:hAnsi="Times New Roman"/>
          <w:rFonts w:ascii="Times New Roman" w:hAnsi="Times New Roman"/>
          <w:sz w:val="24"/>
        </w:rPr>
        <w:t>Kydland, F. E., &amp; Prescott, E. C. (1982). Time to build and aggregate fluctuations. Econometrica, 50(6), 1345-1370.</w:t>
      </w:r>
    </w:p>
    <w:p>
      <w:pPr>
        <w:spacing w:line="240" w:lineRule="auto" w:after="60"/>
        <w:ind w:left="720" w:hanging="720"/>
        <w:jc w:val="both"/>
      </w:pPr>
      <w:r>
        <w:rPr>
          <w:rFonts w:ascii="Times New Roman" w:hAnsi="Times New Roman"/>
          <w:rFonts w:ascii="Times New Roman" w:hAnsi="Times New Roman"/>
          <w:sz w:val="24"/>
        </w:rPr>
        <w:t>León, J., &amp; Quispe, Z. (2022). Transmisión de choques cambiarios a la inflación en Perú. Revista Moneda, 189, 14-22.</w:t>
      </w:r>
    </w:p>
    <w:p>
      <w:pPr>
        <w:spacing w:line="240" w:lineRule="auto" w:after="60"/>
        <w:ind w:left="720" w:hanging="720"/>
        <w:jc w:val="both"/>
      </w:pPr>
      <w:r>
        <w:rPr>
          <w:rFonts w:ascii="Times New Roman" w:hAnsi="Times New Roman"/>
          <w:rFonts w:ascii="Times New Roman" w:hAnsi="Times New Roman"/>
          <w:sz w:val="24"/>
        </w:rPr>
        <w:t>Lucas, R. E. (1972). Expectations and the neutrality of money. Journal of Economic Theory, 4(2), 103-124.</w:t>
      </w:r>
    </w:p>
    <w:p>
      <w:pPr>
        <w:spacing w:line="240" w:lineRule="auto" w:after="60"/>
        <w:ind w:left="720" w:hanging="720"/>
        <w:jc w:val="both"/>
      </w:pPr>
      <w:r>
        <w:rPr>
          <w:rFonts w:ascii="Times New Roman" w:hAnsi="Times New Roman"/>
          <w:rFonts w:ascii="Times New Roman" w:hAnsi="Times New Roman"/>
          <w:sz w:val="24"/>
        </w:rPr>
        <w:t>Lütkepohl, H. (2005). New introduction to multiple time series analysis. Springer.</w:t>
      </w:r>
    </w:p>
    <w:p>
      <w:pPr>
        <w:spacing w:line="240" w:lineRule="auto" w:after="60"/>
        <w:ind w:left="720" w:hanging="720"/>
        <w:jc w:val="both"/>
      </w:pPr>
      <w:r>
        <w:rPr>
          <w:rFonts w:ascii="Times New Roman" w:hAnsi="Times New Roman"/>
          <w:rFonts w:ascii="Times New Roman" w:hAnsi="Times New Roman"/>
          <w:sz w:val="24"/>
        </w:rPr>
        <w:t>Mankiw, N. G. (2020). Macroeconomics (10th ed.). Worth Publishers.</w:t>
      </w:r>
    </w:p>
    <w:p>
      <w:pPr>
        <w:spacing w:line="240" w:lineRule="auto" w:after="60"/>
        <w:ind w:left="720" w:hanging="720"/>
        <w:jc w:val="both"/>
      </w:pPr>
      <w:r>
        <w:rPr>
          <w:rFonts w:ascii="Times New Roman" w:hAnsi="Times New Roman"/>
          <w:rFonts w:ascii="Times New Roman" w:hAnsi="Times New Roman"/>
          <w:sz w:val="24"/>
        </w:rPr>
        <w:t>McCallum, B. T. (1989). Monetary economics: Theory and policy. Macmillan.</w:t>
      </w:r>
    </w:p>
    <w:p>
      <w:pPr>
        <w:spacing w:line="240" w:lineRule="auto" w:after="60"/>
        <w:ind w:left="720" w:hanging="720"/>
        <w:jc w:val="both"/>
      </w:pPr>
      <w:r>
        <w:rPr>
          <w:rFonts w:ascii="Times New Roman" w:hAnsi="Times New Roman"/>
          <w:rFonts w:ascii="Times New Roman" w:hAnsi="Times New Roman"/>
          <w:sz w:val="24"/>
        </w:rPr>
        <w:t>Mendoza, O., &amp; Colichón, L. (2018). Efectos de la política monetaria sobre el producto y la inflación en Perú. Revista Estudios Económicos, 35, 45-68.</w:t>
      </w:r>
    </w:p>
    <w:p>
      <w:pPr>
        <w:spacing w:line="240" w:lineRule="auto" w:after="60"/>
        <w:ind w:left="720" w:hanging="720"/>
        <w:jc w:val="both"/>
      </w:pPr>
      <w:r>
        <w:rPr>
          <w:rFonts w:ascii="Times New Roman" w:hAnsi="Times New Roman"/>
          <w:rFonts w:ascii="Times New Roman" w:hAnsi="Times New Roman"/>
          <w:sz w:val="24"/>
        </w:rPr>
        <w:t>Mishkin, F. S. (1995). Symposium on the monetary transmission mechanism. Journal of Economic Perspectives, 9(4), 3-10.</w:t>
      </w:r>
    </w:p>
    <w:p>
      <w:pPr>
        <w:spacing w:line="240" w:lineRule="auto" w:after="60"/>
        <w:ind w:left="720" w:hanging="720"/>
        <w:jc w:val="both"/>
      </w:pPr>
      <w:r>
        <w:rPr>
          <w:rFonts w:ascii="Times New Roman" w:hAnsi="Times New Roman"/>
          <w:rFonts w:ascii="Times New Roman" w:hAnsi="Times New Roman"/>
          <w:sz w:val="24"/>
        </w:rPr>
        <w:t>Moreno-Brid, J. C., &amp; Sánchez, J. (2019). External shocks and growth dynamics in Latin America. CEPAL Review, 128, 7-28.</w:t>
      </w:r>
    </w:p>
    <w:p>
      <w:pPr>
        <w:spacing w:line="240" w:lineRule="auto" w:after="60"/>
        <w:ind w:left="720" w:hanging="720"/>
        <w:jc w:val="both"/>
      </w:pPr>
      <w:r>
        <w:rPr>
          <w:rFonts w:ascii="Times New Roman" w:hAnsi="Times New Roman"/>
          <w:rFonts w:ascii="Times New Roman" w:hAnsi="Times New Roman"/>
          <w:sz w:val="24"/>
        </w:rPr>
        <w:t>Mountford, A., &amp; Uhlig, H. (2009). What are the effects of fiscal policy shocks? Journal of Applied Econometrics, 24(6), 960-992.</w:t>
      </w:r>
    </w:p>
    <w:p>
      <w:pPr>
        <w:spacing w:line="240" w:lineRule="auto" w:after="60"/>
        <w:ind w:left="720" w:hanging="720"/>
        <w:jc w:val="both"/>
      </w:pPr>
      <w:r>
        <w:rPr>
          <w:rFonts w:ascii="Times New Roman" w:hAnsi="Times New Roman"/>
          <w:rFonts w:ascii="Times New Roman" w:hAnsi="Times New Roman"/>
          <w:sz w:val="24"/>
        </w:rPr>
        <w:t>Muth, J. F. (1961). Rational expectations and the theory of price movements. Econometrica, 29(3), 315-335.</w:t>
      </w:r>
    </w:p>
    <w:p>
      <w:pPr>
        <w:spacing w:line="240" w:lineRule="auto" w:after="60"/>
        <w:ind w:left="720" w:hanging="720"/>
        <w:jc w:val="both"/>
      </w:pPr>
      <w:r>
        <w:rPr>
          <w:rFonts w:ascii="Times New Roman" w:hAnsi="Times New Roman"/>
          <w:rFonts w:ascii="Times New Roman" w:hAnsi="Times New Roman"/>
          <w:sz w:val="24"/>
        </w:rPr>
        <w:t>Nakajima, J. (2011). Time-varying parameter VAR model with stochastic volatility. Monetary and Economic Studies, 29, 107-142.</w:t>
      </w:r>
    </w:p>
    <w:p>
      <w:pPr>
        <w:spacing w:line="240" w:lineRule="auto" w:after="60"/>
        <w:ind w:left="720" w:hanging="720"/>
        <w:jc w:val="both"/>
      </w:pPr>
      <w:r>
        <w:rPr>
          <w:rFonts w:ascii="Times New Roman" w:hAnsi="Times New Roman"/>
          <w:rFonts w:ascii="Times New Roman" w:hAnsi="Times New Roman"/>
          <w:sz w:val="24"/>
        </w:rPr>
        <w:t>Nelson, C. R., &amp; Plosser, C. I. (1982). Trends and random walks in macroeconomic time series. Journal of Monetary Economics, 10(2), 139-162.</w:t>
      </w:r>
    </w:p>
    <w:p>
      <w:pPr>
        <w:spacing w:line="240" w:lineRule="auto" w:after="60"/>
        <w:ind w:left="720" w:hanging="720"/>
        <w:jc w:val="both"/>
      </w:pPr>
      <w:r>
        <w:rPr>
          <w:rFonts w:ascii="Times New Roman" w:hAnsi="Times New Roman"/>
          <w:rFonts w:ascii="Times New Roman" w:hAnsi="Times New Roman"/>
          <w:sz w:val="24"/>
        </w:rPr>
        <w:t>Ocampo, J. A., &amp; Parra, M. (2020). Monetary policy and financial stability in Latin America. Journal of Post Keynesian Economics, 43(1), 1-28.</w:t>
      </w:r>
    </w:p>
    <w:p>
      <w:pPr>
        <w:spacing w:line="240" w:lineRule="auto" w:after="60"/>
        <w:ind w:left="720" w:hanging="720"/>
        <w:jc w:val="both"/>
      </w:pPr>
      <w:r>
        <w:rPr>
          <w:rFonts w:ascii="Times New Roman" w:hAnsi="Times New Roman"/>
          <w:rFonts w:ascii="Times New Roman" w:hAnsi="Times New Roman"/>
          <w:sz w:val="24"/>
        </w:rPr>
        <w:t>Parker, J. A. (2011). On measuring the effects of fiscal policy in recessions. Journal of Economic Literature, 49(3), 703-718.</w:t>
      </w:r>
    </w:p>
    <w:p>
      <w:pPr>
        <w:spacing w:line="240" w:lineRule="auto" w:after="60"/>
        <w:ind w:left="720" w:hanging="720"/>
        <w:jc w:val="both"/>
      </w:pPr>
      <w:r>
        <w:rPr>
          <w:rFonts w:ascii="Times New Roman" w:hAnsi="Times New Roman"/>
          <w:rFonts w:ascii="Times New Roman" w:hAnsi="Times New Roman"/>
          <w:sz w:val="24"/>
        </w:rPr>
        <w:t>Perron, P. (1989). The great crash, the oil price shock, and the unit root hypothesis. Econometrica, 57(6), 1361-1401.</w:t>
      </w:r>
    </w:p>
    <w:p>
      <w:pPr>
        <w:spacing w:line="240" w:lineRule="auto" w:after="60"/>
        <w:ind w:left="720" w:hanging="720"/>
        <w:jc w:val="both"/>
      </w:pPr>
      <w:r>
        <w:rPr>
          <w:rFonts w:ascii="Times New Roman" w:hAnsi="Times New Roman"/>
          <w:rFonts w:ascii="Times New Roman" w:hAnsi="Times New Roman"/>
          <w:sz w:val="24"/>
        </w:rPr>
        <w:t>Phillips, A. W. (1958). The relation between unemployment and the rate of change of money wage rates in the United Kingdom, 1861-1957. Economica, 25(100), 283-299.</w:t>
      </w:r>
    </w:p>
    <w:p>
      <w:pPr>
        <w:spacing w:line="240" w:lineRule="auto" w:after="60"/>
        <w:ind w:left="720" w:hanging="720"/>
        <w:jc w:val="both"/>
      </w:pPr>
      <w:r>
        <w:rPr>
          <w:rFonts w:ascii="Times New Roman" w:hAnsi="Times New Roman"/>
          <w:rFonts w:ascii="Times New Roman" w:hAnsi="Times New Roman"/>
          <w:sz w:val="24"/>
        </w:rPr>
        <w:t>Phillips, P. C. B., &amp; Perron, P. (1988). Testing for a unit root in time series regression. Biometrika, 75(2), 335-346.</w:t>
      </w:r>
    </w:p>
    <w:p>
      <w:pPr>
        <w:spacing w:line="240" w:lineRule="auto" w:after="60"/>
        <w:ind w:left="720" w:hanging="720"/>
        <w:jc w:val="both"/>
      </w:pPr>
      <w:r>
        <w:rPr>
          <w:rFonts w:ascii="Times New Roman" w:hAnsi="Times New Roman"/>
          <w:rFonts w:ascii="Times New Roman" w:hAnsi="Times New Roman"/>
          <w:sz w:val="24"/>
        </w:rPr>
        <w:t>Plosser, C. I. (1989). Understanding real business cycles. Journal of Economic Perspectives, 3(3), 51-77.</w:t>
      </w:r>
    </w:p>
    <w:p>
      <w:pPr>
        <w:spacing w:line="240" w:lineRule="auto" w:after="60"/>
        <w:ind w:left="720" w:hanging="720"/>
        <w:jc w:val="both"/>
      </w:pPr>
      <w:r>
        <w:rPr>
          <w:rFonts w:ascii="Times New Roman" w:hAnsi="Times New Roman"/>
          <w:rFonts w:ascii="Times New Roman" w:hAnsi="Times New Roman"/>
          <w:sz w:val="24"/>
        </w:rPr>
        <w:t>Prescott, E. C. (1986). Theory ahead of business-cycle measurement. Carnegie-Rochester Conference Series on Public Policy, 25, 11-44.</w:t>
      </w:r>
    </w:p>
    <w:p>
      <w:pPr>
        <w:spacing w:line="240" w:lineRule="auto" w:after="60"/>
        <w:ind w:left="720" w:hanging="720"/>
        <w:jc w:val="both"/>
      </w:pPr>
      <w:r>
        <w:rPr>
          <w:rFonts w:ascii="Times New Roman" w:hAnsi="Times New Roman"/>
          <w:rFonts w:ascii="Times New Roman" w:hAnsi="Times New Roman"/>
          <w:sz w:val="24"/>
        </w:rPr>
        <w:t>Primiceri, G. E. (2005). Time varying structural vector autoregressions and monetary policy. Review of Economic Studies, 72(3), 821-852.</w:t>
      </w:r>
    </w:p>
    <w:p>
      <w:pPr>
        <w:spacing w:line="240" w:lineRule="auto" w:after="60"/>
        <w:ind w:left="720" w:hanging="720"/>
        <w:jc w:val="both"/>
      </w:pPr>
      <w:r>
        <w:rPr>
          <w:rFonts w:ascii="Times New Roman" w:hAnsi="Times New Roman"/>
          <w:rFonts w:ascii="Times New Roman" w:hAnsi="Times New Roman"/>
          <w:sz w:val="24"/>
        </w:rPr>
        <w:t>Ramey, V. A. (2011). Identifying government spending shocks: It is all in the timing. Quarterly Journal of Economics, 126(1), 1-50.</w:t>
      </w:r>
    </w:p>
    <w:p>
      <w:pPr>
        <w:spacing w:line="240" w:lineRule="auto" w:after="60"/>
        <w:ind w:left="720" w:hanging="720"/>
        <w:jc w:val="both"/>
      </w:pPr>
      <w:r>
        <w:rPr>
          <w:rFonts w:ascii="Times New Roman" w:hAnsi="Times New Roman"/>
          <w:rFonts w:ascii="Times New Roman" w:hAnsi="Times New Roman"/>
          <w:sz w:val="24"/>
        </w:rPr>
        <w:t>Romer, C., &amp; Bernstein, J. (2009). The job impact of the American Recovery and Reinvestment Plan. Council of Economic Advisers.</w:t>
      </w:r>
    </w:p>
    <w:p>
      <w:pPr>
        <w:spacing w:line="240" w:lineRule="auto" w:after="60"/>
        <w:ind w:left="720" w:hanging="720"/>
        <w:jc w:val="both"/>
      </w:pPr>
      <w:r>
        <w:rPr>
          <w:rFonts w:ascii="Times New Roman" w:hAnsi="Times New Roman"/>
          <w:rFonts w:ascii="Times New Roman" w:hAnsi="Times New Roman"/>
          <w:sz w:val="24"/>
        </w:rPr>
        <w:t>Romer, D. (2019). Advanced macroeconomics (5th ed.). McGraw-Hill.</w:t>
      </w:r>
    </w:p>
    <w:p>
      <w:pPr>
        <w:spacing w:line="240" w:lineRule="auto" w:after="60"/>
        <w:ind w:left="720" w:hanging="720"/>
        <w:jc w:val="both"/>
      </w:pPr>
      <w:r>
        <w:rPr>
          <w:rFonts w:ascii="Times New Roman" w:hAnsi="Times New Roman"/>
          <w:rFonts w:ascii="Times New Roman" w:hAnsi="Times New Roman"/>
          <w:sz w:val="24"/>
        </w:rPr>
        <w:t>Samuelson, P. A. (1939). Interactions between the multiplier analysis and the principle of acceleration. Review of Economics and Statistics, 21(2), 75-78.</w:t>
      </w:r>
    </w:p>
    <w:p>
      <w:pPr>
        <w:spacing w:line="240" w:lineRule="auto" w:after="60"/>
        <w:ind w:left="720" w:hanging="720"/>
        <w:jc w:val="both"/>
      </w:pPr>
      <w:r>
        <w:rPr>
          <w:rFonts w:ascii="Times New Roman" w:hAnsi="Times New Roman"/>
          <w:rFonts w:ascii="Times New Roman" w:hAnsi="Times New Roman"/>
          <w:sz w:val="24"/>
        </w:rPr>
        <w:t>Sargent, T. J., &amp; Wallace, N. (1975). Rational expectations, the optimal monetary instrument, and the optimal money supply rule. Journal of Political Economy, 83(2), 241-254.</w:t>
      </w:r>
    </w:p>
    <w:p>
      <w:pPr>
        <w:spacing w:line="240" w:lineRule="auto" w:after="60"/>
        <w:ind w:left="720" w:hanging="720"/>
        <w:jc w:val="both"/>
      </w:pPr>
      <w:r>
        <w:rPr>
          <w:rFonts w:ascii="Times New Roman" w:hAnsi="Times New Roman"/>
          <w:rFonts w:ascii="Times New Roman" w:hAnsi="Times New Roman"/>
          <w:sz w:val="24"/>
        </w:rPr>
        <w:t>Shapiro, M. D., &amp; Watson, M. W. (1988). Sources of business cycle fluctuations. NBER Macroeconomics Annual, 3, 111-148.</w:t>
      </w:r>
    </w:p>
    <w:p>
      <w:pPr>
        <w:spacing w:line="240" w:lineRule="auto" w:after="60"/>
        <w:ind w:left="720" w:hanging="720"/>
        <w:jc w:val="both"/>
      </w:pPr>
      <w:r>
        <w:rPr>
          <w:rFonts w:ascii="Times New Roman" w:hAnsi="Times New Roman"/>
          <w:rFonts w:ascii="Times New Roman" w:hAnsi="Times New Roman"/>
          <w:sz w:val="24"/>
        </w:rPr>
        <w:t>Sims, C. A. (1980). Macroeconomics and reality. Econometrica, 48(1), 1-48.</w:t>
      </w:r>
    </w:p>
    <w:p>
      <w:pPr>
        <w:spacing w:line="240" w:lineRule="auto" w:after="60"/>
        <w:ind w:left="720" w:hanging="720"/>
        <w:jc w:val="both"/>
      </w:pPr>
      <w:r>
        <w:rPr>
          <w:rFonts w:ascii="Times New Roman" w:hAnsi="Times New Roman"/>
          <w:rFonts w:ascii="Times New Roman" w:hAnsi="Times New Roman"/>
          <w:sz w:val="24"/>
        </w:rPr>
        <w:t>Sims, C. A. (1992). Interpreting the macroeconomic time series facts: The effects of monetary policy. European Economic Review, 36(5), 975-1000.</w:t>
      </w:r>
    </w:p>
    <w:p>
      <w:pPr>
        <w:spacing w:line="240" w:lineRule="auto" w:after="60"/>
        <w:ind w:left="720" w:hanging="720"/>
        <w:jc w:val="both"/>
      </w:pPr>
      <w:r>
        <w:rPr>
          <w:rFonts w:ascii="Times New Roman" w:hAnsi="Times New Roman"/>
          <w:rFonts w:ascii="Times New Roman" w:hAnsi="Times New Roman"/>
          <w:sz w:val="24"/>
        </w:rPr>
        <w:t>Smets, F., &amp; Wouters, R. (2003). An estimated dynamic stochastic general equilibrium model of the euro area. Journal of the European Economic Association, 1(5), 1123-1175.</w:t>
      </w:r>
    </w:p>
    <w:p>
      <w:pPr>
        <w:spacing w:line="240" w:lineRule="auto" w:after="60"/>
        <w:ind w:left="720" w:hanging="720"/>
        <w:jc w:val="both"/>
      </w:pPr>
      <w:r>
        <w:rPr>
          <w:rFonts w:ascii="Times New Roman" w:hAnsi="Times New Roman"/>
          <w:rFonts w:ascii="Times New Roman" w:hAnsi="Times New Roman"/>
          <w:sz w:val="24"/>
        </w:rPr>
        <w:t>Stock, J. H., &amp; Watson, M. W. (2001). Vector autoregressions. Journal of Economic Perspectives, 15(4), 101-115.</w:t>
      </w:r>
    </w:p>
    <w:p>
      <w:pPr>
        <w:spacing w:line="240" w:lineRule="auto" w:after="60"/>
        <w:ind w:left="720" w:hanging="720"/>
        <w:jc w:val="both"/>
      </w:pPr>
      <w:r>
        <w:rPr>
          <w:rFonts w:ascii="Times New Roman" w:hAnsi="Times New Roman"/>
          <w:rFonts w:ascii="Times New Roman" w:hAnsi="Times New Roman"/>
          <w:sz w:val="24"/>
        </w:rPr>
        <w:t>Svensson, L. E. O. (2010). Inflation targeting. Handbook of Monetary Economics, 3, 1237-1302.</w:t>
      </w:r>
    </w:p>
    <w:p>
      <w:pPr>
        <w:spacing w:line="240" w:lineRule="auto" w:after="60"/>
        <w:ind w:left="720" w:hanging="720"/>
        <w:jc w:val="both"/>
      </w:pPr>
      <w:r>
        <w:rPr>
          <w:rFonts w:ascii="Times New Roman" w:hAnsi="Times New Roman"/>
          <w:rFonts w:ascii="Times New Roman" w:hAnsi="Times New Roman"/>
          <w:sz w:val="24"/>
        </w:rPr>
        <w:t>Taylor, J. B. (1995). The monetary transmission mechanism: An empirical framework. Journal of Economic Perspectives, 9(4), 11-26.</w:t>
      </w:r>
    </w:p>
    <w:p>
      <w:pPr>
        <w:spacing w:line="240" w:lineRule="auto" w:after="60"/>
        <w:ind w:left="720" w:hanging="720"/>
        <w:jc w:val="both"/>
      </w:pPr>
      <w:r>
        <w:rPr>
          <w:rFonts w:ascii="Times New Roman" w:hAnsi="Times New Roman"/>
          <w:rFonts w:ascii="Times New Roman" w:hAnsi="Times New Roman"/>
          <w:sz w:val="24"/>
        </w:rPr>
        <w:t>Tsay, R. S. (2014). Multivariate time series analysis. Wiley.</w:t>
      </w:r>
    </w:p>
    <w:p>
      <w:pPr>
        <w:spacing w:line="240" w:lineRule="auto" w:after="60"/>
        <w:ind w:left="720" w:hanging="720"/>
        <w:jc w:val="both"/>
      </w:pPr>
      <w:r>
        <w:rPr>
          <w:rFonts w:ascii="Times New Roman" w:hAnsi="Times New Roman"/>
          <w:rFonts w:ascii="Times New Roman" w:hAnsi="Times New Roman"/>
          <w:sz w:val="24"/>
        </w:rPr>
        <w:t>Uhlig, H. (2005). What are the effects of monetary policy on output? Results from an agnostic identification procedure. Journal of Monetary Economics, 52(2), 381-419.</w:t>
      </w:r>
    </w:p>
    <w:p>
      <w:pPr>
        <w:spacing w:line="240" w:lineRule="auto" w:after="60"/>
        <w:ind w:left="720" w:hanging="720"/>
        <w:jc w:val="both"/>
      </w:pPr>
      <w:r>
        <w:rPr>
          <w:rFonts w:ascii="Times New Roman" w:hAnsi="Times New Roman"/>
          <w:rFonts w:ascii="Times New Roman" w:hAnsi="Times New Roman"/>
          <w:sz w:val="24"/>
        </w:rPr>
        <w:t>Woodford, M. (2003). Interest and prices: Foundations of a theory of monetary policy. Princeton University Press.</w:t>
      </w:r>
    </w:p>
    <w:p>
      <w:pPr>
        <w:spacing w:line="240" w:lineRule="auto" w:after="60"/>
        <w:ind w:left="720" w:hanging="720"/>
        <w:jc w:val="both"/>
      </w:pPr>
      <w:r>
        <w:rPr>
          <w:rFonts w:ascii="Times New Roman" w:hAnsi="Times New Roman"/>
          <w:rFonts w:ascii="Times New Roman" w:hAnsi="Times New Roman"/>
          <w:sz w:val="24"/>
        </w:rPr>
        <w:t>Woodford, M. (2011). Simple analytics of the government spending multiplier. American Economic Journal: Macroeconomics, 3(1), 1-35.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eastAsia="Times New Roma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