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32"/>
        </w:rPr>
        <w:t>ESPECIFICACIONES TÉCNICAS GENERALES (DOCUMENTO MAESTRO)</w:t>
      </w:r>
    </w:p>
    <w:p>
      <w:pPr>
        <w:jc w:val="center"/>
      </w:pPr>
      <w:r>
        <w:rPr>
          <w:rFonts w:ascii="Arial" w:hAnsi="Arial"/>
          <w:i/>
          <w:color w:val="646464"/>
          <w:sz w:val="22"/>
        </w:rPr>
        <w:t>PROYECTO: INFRAESTRUCTURA Y SERVICIOS CIVILES</w:t>
      </w:r>
    </w:p>
    <w:p>
      <w: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>01.01.01 CARTEL DE IDENTIFICACIÓN DE OBRA DE 3.60m x 2.40m</w:t>
      </w:r>
    </w:p>
    <w:p>
      <w:r>
        <w:t>1.1 Descripción:</w:t>
        <w:br/>
        <w:t>Comprende la confección e instalación del cartel informativo de la obra, el cual deberá ubicarse en un lugar visible de fácil acceso seleccionado por la Supervisión. El diseño, logotipo, colores y leyendas serán proporcionados por la Entidad Contratante.</w:t>
      </w:r>
    </w:p>
    <w:p>
      <w:r>
        <w:t>1.2 Materiales y Estructura:</w:t>
        <w:br/>
        <w:t>Estará construido con bastidor de madera tornillo de 2" x 3", parantes de 4" x 4" anclados en dados de concreto ciclópeo de 0.40m x 0.40m x 0.60m. La gigantografía será en lona banner de 13 onzas de alta resolución resistente a intemperie.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Especificación Técnica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Parantes principales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Madera Tornillo 4" x 4" x 4.50m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Pieza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Bastidor de soporte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Listonería 2" x 3" seca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Pie cuadrado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Banner publicitario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Lona mate 13 oz con protección UV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m2</w:t>
            </w:r>
          </w:p>
        </w:tc>
      </w:tr>
    </w:tbl>
    <w:p>
      <w:r>
        <w:t>1.3 Método de Medición y Base de Pago:</w:t>
        <w:br/>
        <w:t>La unidad de medida para el pago será la Unidad (UND), pagándose al precio unitario del contrato tras la verificación física de su correcta instalación por el Supervisor.</w:t>
      </w:r>
    </w:p>
    <w:p/>
    <w:p>
      <w:pPr>
        <w:pStyle w:val="Heading1"/>
      </w:pPr>
      <w:r>
        <w:t>01.01.02 CASETA DE ALMACÉN Y GUARDIANÍA</w:t>
      </w:r>
    </w:p>
    <w:p>
      <w:r>
        <w:t>2.1 Descripción:</w:t>
        <w:br/>
        <w:t>Comprende la construcción de ambientes provisionales adecuados para el depósito de materiales sensibles a la humedad (cemento, acero, aditivos) y custodia de herramientas, así como oficinas técnicas y ambiente de guardianía diurna y nocturna.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1148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_ex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7"/>
        </w:rPr>
        <w:t>Figura 1: Esquema de distribución de caseta y zona de acopio temporal.</w:t>
      </w:r>
    </w:p>
    <w:p>
      <w:r>
        <w:t>2.2 Requisitos Funcionales:</w:t>
        <w:br/>
        <w:t>La caseta dispondrá de ventilación cruzada, piso elevado mínimo 10 cm sobre terreno natural para evitar anegamientos, cerraduras de seguridad y extintor PQS de 6 kg vigente.</w:t>
      </w:r>
    </w:p>
    <w:p/>
    <w:p>
      <w:pPr>
        <w:pStyle w:val="Heading1"/>
      </w:pPr>
      <w:r>
        <w:t>01.02.01 LIMPIEZA Y DESBROCE MANUAL DE TERRENO</w:t>
      </w:r>
    </w:p>
    <w:p>
      <w:r>
        <w:t>3.1 Descripción:</w:t>
        <w:br/>
        <w:t>Trabajos previos consistentes en la eliminación de malezas, raíces, desmontes y elementos que obstaculicen la visibilidad o impidan el correcto replanteo del terreno natural.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Zona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Área (m2)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Espesor Desbroce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 de Vegetación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Sector A (Plataforma)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850.00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0.15 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Maleza media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Sector B (Accesos)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320.00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0.10 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Césped y arbustos</w:t>
            </w:r>
          </w:p>
        </w:tc>
      </w:tr>
    </w:tbl>
    <w:p>
      <w:r>
        <w:t>3.2 Disposición de Desechos:</w:t>
        <w:br/>
        <w:t>Todo material vegetal y desmonte será transportado al botadero municipal autorizado por la municipalidad distrital en camión volquete.</w:t>
      </w:r>
    </w:p>
    <w:p/>
    <w:p>
      <w:pPr>
        <w:pStyle w:val="Heading1"/>
      </w:pPr>
      <w:r>
        <w:t>01.02.02 TRAZO, NIVELES Y REPLANTEO PRELIMINAR</w:t>
      </w:r>
    </w:p>
    <w:p>
      <w:r>
        <w:t>4.1 Descripción:</w:t>
        <w:br/>
        <w:t>Consiste en llevar al terreno los ejes, rasantes y alineamientos señalados en los planos de arquitectura y estructuras, empleando estación total y nivel de ingeniero.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1148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2_ex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2: Diagrama de control topográfico y tolerancias de cota.</w:t>
      </w:r>
    </w:p>
    <w:p>
      <w:r>
        <w:t>4.2 Tolerancias:</w:t>
        <w:br/>
        <w:t>Las discrepancias máximas admisibles serán de ± 5 mm en nivelación y ± 10 segundos sexagesimales en ángulos azimutales entre vértices de poligonal.</w:t>
      </w:r>
    </w:p>
    <w:p/>
    <w:p>
      <w:pPr>
        <w:pStyle w:val="Heading1"/>
      </w:pPr>
      <w:r>
        <w:t>02.01.01 EXCAVACIÓN MANUAL PARA ZANJAS Y CIMIENTOS</w:t>
      </w:r>
    </w:p>
    <w:p>
      <w:r>
        <w:t>5.1 Descripción y Alcance:</w:t>
        <w:br/>
        <w:t>Comprende la excavación manual para alojar cimientos corridos y zapatas aisladas hasta los niveles de fondo de cimentación indicados en planos estructurales.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Elemento Estructural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Profundidad (m)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Capacidad Portante (kg/cm2)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Cimiento Corrido CC-1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1.20 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1.80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Zapatas Z-1 y Z-2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1.60 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2.10</w:t>
            </w:r>
          </w:p>
        </w:tc>
      </w:tr>
    </w:tbl>
    <w:p>
      <w:r>
        <w:t>5.2 Medición:</w:t>
        <w:br/>
        <w:t>La unidad de medida para el pago es el Metro Cúbico (m3) de volumen excavado neto.</w:t>
      </w:r>
    </w:p>
    <w:p/>
    <w:p>
      <w:pPr>
        <w:pStyle w:val="Heading1"/>
      </w:pPr>
      <w:r>
        <w:t>02.01.02 RELLENO Y COMPACTACIÓN CON MATERIAL PROPIO</w:t>
      </w:r>
    </w:p>
    <w:p>
      <w:r>
        <w:t>6.1 Descripción:</w:t>
        <w:br/>
        <w:t>Comprende la colocación de material selecto proveniente de las excavaciones, libre de materia orgánica y piedras mayores a 2.5 pulgadas, en capas sucesivas de 20 cm.</w:t>
      </w:r>
    </w:p>
    <w:p>
      <w:r>
        <w:t>6.2 Control de Calidad:</w:t>
        <w:br/>
        <w:t>Se realizarán ensayos de densidad de campo (cono de arena ASTM D1556) exigiendo un grado de compactación mínimo del 95% del Proctor Modificado (AASHTO T-180).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