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line="276" w:lineRule="auto"/>
        <w:jc w:val="center"/>
      </w:pPr>
      <w:r>
        <w:rPr>
          <w:rFonts w:ascii="Arial" w:hAnsi="Arial"/>
          <w:b/>
          <w:i w:val="0"/>
          <w:color w:val="0F2043"/>
          <w:sz w:val="36"/>
        </w:rPr>
        <w:t>INSTALACIONES ELÉCTRICAS</w:t>
      </w:r>
    </w:p>
    <w:p>
      <w:pPr>
        <w:spacing w:before="0" w:after="720" w:line="276" w:lineRule="auto"/>
        <w:jc w:val="center"/>
      </w:pPr>
      <w:r>
        <w:rPr>
          <w:rFonts w:ascii="Arial" w:hAnsi="Arial"/>
          <w:b/>
          <w:i w:val="0"/>
          <w:color w:val="184C78"/>
          <w:sz w:val="28"/>
        </w:rPr>
        <w:t>MEMORIA DESCRIPTIVA, CÁLCULOS JUSTIFICATORIOS,</w:t>
        <w:br/>
        <w:t>ESPECIFICACIONES TÉCNICAS Y MATRIZ DE INCONSISTENCIAS</w:t>
      </w:r>
    </w:p>
    <w:tbl>
      <w:tblPr>
        <w:tblW w:type="auto" w:w="0"/>
        <w:jc w:val="center"/>
        <w:tblLook w:firstColumn="1" w:firstRow="1" w:lastColumn="0" w:lastRow="0" w:noHBand="0" w:noVBand="1" w:val="04A0"/>
      </w:tblPr>
      <w:tblGrid>
        <w:gridCol w:w="4709"/>
        <w:gridCol w:w="4709"/>
      </w:tblGrid>
      <w:tr>
        <w:tc>
          <w:tcPr>
            <w:tcW w:type="dxa" w:w="4709"/>
            <w:tcMar>
              <w:top w:w="60" w:type="dxa"/>
              <w:bottom w:w="60" w:type="dxa"/>
              <w:left w:w="100" w:type="dxa"/>
              <w:right w:w="100" w:type="dxa"/>
            </w:tcMar>
          </w:tcPr>
          <w:p>
            <w:pPr>
              <w:jc w:val="left"/>
            </w:pPr>
            <w:r>
              <w:rPr>
                <w:rFonts w:ascii="Arial" w:hAnsi="Arial"/>
                <w:b/>
                <w:color w:val="0F2043"/>
                <w:sz w:val="19"/>
              </w:rPr>
              <w:t xml:space="preserve">      PROYECTO                :</w:t>
            </w:r>
          </w:p>
        </w:tc>
        <w:tc>
          <w:tcPr>
            <w:tcW w:type="dxa" w:w="4709"/>
            <w:tcMar>
              <w:top w:w="60" w:type="dxa"/>
              <w:bottom w:w="60" w:type="dxa"/>
              <w:left w:w="100" w:type="dxa"/>
              <w:right w:w="100" w:type="dxa"/>
            </w:tcMar>
          </w:tcPr>
          <w:p>
            <w:pPr>
              <w:jc w:val="left"/>
            </w:pPr>
            <w:r>
              <w:rPr>
                <w:rFonts w:ascii="Arial" w:hAnsi="Arial"/>
                <w:b/>
                <w:color w:val="282828"/>
                <w:sz w:val="19"/>
              </w:rPr>
              <w:t xml:space="preserve"> VIVIENDA UNIFAMILIAR DE 3 NIVELES (1ER PISO, 2DO PISO Y AZOTEA)</w:t>
            </w:r>
          </w:p>
        </w:tc>
      </w:tr>
      <w:tr>
        <w:tc>
          <w:tcPr>
            <w:tcW w:type="dxa" w:w="4709"/>
            <w:tcMar>
              <w:top w:w="60" w:type="dxa"/>
              <w:bottom w:w="60" w:type="dxa"/>
              <w:left w:w="100" w:type="dxa"/>
              <w:right w:w="100" w:type="dxa"/>
            </w:tcMar>
          </w:tcPr>
          <w:p>
            <w:pPr>
              <w:jc w:val="left"/>
            </w:pPr>
            <w:r>
              <w:rPr>
                <w:rFonts w:ascii="Arial" w:hAnsi="Arial"/>
                <w:b/>
                <w:color w:val="0F2043"/>
                <w:sz w:val="19"/>
              </w:rPr>
              <w:t xml:space="preserve">      PROPIETARIO / PROYECTISTA:</w:t>
            </w:r>
          </w:p>
        </w:tc>
        <w:tc>
          <w:tcPr>
            <w:tcW w:type="dxa" w:w="4709"/>
            <w:tcMar>
              <w:top w:w="60" w:type="dxa"/>
              <w:bottom w:w="60" w:type="dxa"/>
              <w:left w:w="100" w:type="dxa"/>
              <w:right w:w="100" w:type="dxa"/>
            </w:tcMar>
          </w:tcPr>
          <w:p>
            <w:pPr>
              <w:jc w:val="left"/>
            </w:pPr>
            <w:r>
              <w:rPr>
                <w:rFonts w:ascii="Arial" w:hAnsi="Arial"/>
                <w:b/>
                <w:color w:val="282828"/>
                <w:sz w:val="19"/>
              </w:rPr>
              <w:t xml:space="preserve"> CHARAJA MAMANI DIEGO JEFFERSON</w:t>
            </w:r>
          </w:p>
        </w:tc>
      </w:tr>
      <w:tr>
        <w:tc>
          <w:tcPr>
            <w:tcW w:type="dxa" w:w="4709"/>
            <w:tcMar>
              <w:top w:w="60" w:type="dxa"/>
              <w:bottom w:w="60" w:type="dxa"/>
              <w:left w:w="100" w:type="dxa"/>
              <w:right w:w="100" w:type="dxa"/>
            </w:tcMar>
          </w:tcPr>
          <w:p>
            <w:pPr>
              <w:jc w:val="left"/>
            </w:pPr>
            <w:r>
              <w:rPr>
                <w:rFonts w:ascii="Arial" w:hAnsi="Arial"/>
                <w:b/>
                <w:color w:val="0F2043"/>
                <w:sz w:val="19"/>
              </w:rPr>
              <w:t xml:space="preserve">      CÓDIGO DE ESTUDIANTE    :</w:t>
            </w:r>
          </w:p>
        </w:tc>
        <w:tc>
          <w:tcPr>
            <w:tcW w:type="dxa" w:w="4709"/>
            <w:tcMar>
              <w:top w:w="60" w:type="dxa"/>
              <w:bottom w:w="60" w:type="dxa"/>
              <w:left w:w="100" w:type="dxa"/>
              <w:right w:w="100" w:type="dxa"/>
            </w:tcMar>
          </w:tcPr>
          <w:p>
            <w:pPr>
              <w:jc w:val="left"/>
            </w:pPr>
            <w:r>
              <w:rPr>
                <w:rFonts w:ascii="Arial" w:hAnsi="Arial"/>
                <w:b/>
                <w:color w:val="282828"/>
                <w:sz w:val="19"/>
              </w:rPr>
              <w:t xml:space="preserve"> 214254</w:t>
            </w:r>
          </w:p>
        </w:tc>
      </w:tr>
      <w:tr>
        <w:tc>
          <w:tcPr>
            <w:tcW w:type="dxa" w:w="4709"/>
            <w:tcMar>
              <w:top w:w="60" w:type="dxa"/>
              <w:bottom w:w="60" w:type="dxa"/>
              <w:left w:w="100" w:type="dxa"/>
              <w:right w:w="100" w:type="dxa"/>
            </w:tcMar>
          </w:tcPr>
          <w:p>
            <w:pPr>
              <w:jc w:val="left"/>
            </w:pPr>
            <w:r>
              <w:rPr>
                <w:rFonts w:ascii="Arial" w:hAnsi="Arial"/>
                <w:b/>
                <w:color w:val="0F2043"/>
                <w:sz w:val="19"/>
              </w:rPr>
              <w:t xml:space="preserve">      DOCENTE RESPONSABLE     :</w:t>
            </w:r>
          </w:p>
        </w:tc>
        <w:tc>
          <w:tcPr>
            <w:tcW w:type="dxa" w:w="4709"/>
            <w:tcMar>
              <w:top w:w="60" w:type="dxa"/>
              <w:bottom w:w="60" w:type="dxa"/>
              <w:left w:w="100" w:type="dxa"/>
              <w:right w:w="100" w:type="dxa"/>
            </w:tcMar>
          </w:tcPr>
          <w:p>
            <w:pPr>
              <w:jc w:val="left"/>
            </w:pPr>
            <w:r>
              <w:rPr>
                <w:rFonts w:ascii="Arial" w:hAnsi="Arial"/>
                <w:b/>
                <w:color w:val="282828"/>
                <w:sz w:val="19"/>
              </w:rPr>
              <w:t xml:space="preserve"> ING. VILLANUEVA CORNEJO MARCOS JOSE</w:t>
            </w:r>
          </w:p>
        </w:tc>
      </w:tr>
      <w:tr>
        <w:tc>
          <w:tcPr>
            <w:tcW w:type="dxa" w:w="4709"/>
            <w:tcMar>
              <w:top w:w="60" w:type="dxa"/>
              <w:bottom w:w="60" w:type="dxa"/>
              <w:left w:w="100" w:type="dxa"/>
              <w:right w:w="100" w:type="dxa"/>
            </w:tcMar>
          </w:tcPr>
          <w:p>
            <w:pPr>
              <w:jc w:val="left"/>
            </w:pPr>
            <w:r>
              <w:rPr>
                <w:rFonts w:ascii="Arial" w:hAnsi="Arial"/>
                <w:b/>
                <w:color w:val="0F2043"/>
                <w:sz w:val="19"/>
              </w:rPr>
              <w:t xml:space="preserve">      ASIGNATURA              :</w:t>
            </w:r>
          </w:p>
        </w:tc>
        <w:tc>
          <w:tcPr>
            <w:tcW w:type="dxa" w:w="4709"/>
            <w:tcMar>
              <w:top w:w="60" w:type="dxa"/>
              <w:bottom w:w="60" w:type="dxa"/>
              <w:left w:w="100" w:type="dxa"/>
              <w:right w:w="100" w:type="dxa"/>
            </w:tcMar>
          </w:tcPr>
          <w:p>
            <w:pPr>
              <w:jc w:val="left"/>
            </w:pPr>
            <w:r>
              <w:rPr>
                <w:rFonts w:ascii="Arial" w:hAnsi="Arial"/>
                <w:b/>
                <w:color w:val="282828"/>
                <w:sz w:val="19"/>
              </w:rPr>
              <w:t xml:space="preserve"> INSTALACIONES ELÉCTRICAS</w:t>
            </w:r>
          </w:p>
        </w:tc>
      </w:tr>
      <w:tr>
        <w:tc>
          <w:tcPr>
            <w:tcW w:type="dxa" w:w="4709"/>
            <w:tcMar>
              <w:top w:w="60" w:type="dxa"/>
              <w:bottom w:w="60" w:type="dxa"/>
              <w:left w:w="100" w:type="dxa"/>
              <w:right w:w="100" w:type="dxa"/>
            </w:tcMar>
          </w:tcPr>
          <w:p>
            <w:pPr>
              <w:jc w:val="left"/>
            </w:pPr>
            <w:r>
              <w:rPr>
                <w:rFonts w:ascii="Arial" w:hAnsi="Arial"/>
                <w:b/>
                <w:color w:val="0F2043"/>
                <w:sz w:val="19"/>
              </w:rPr>
              <w:t xml:space="preserve">      ESCUELA PROFESIONAL     :</w:t>
            </w:r>
          </w:p>
        </w:tc>
        <w:tc>
          <w:tcPr>
            <w:tcW w:type="dxa" w:w="4709"/>
            <w:tcMar>
              <w:top w:w="60" w:type="dxa"/>
              <w:bottom w:w="60" w:type="dxa"/>
              <w:left w:w="100" w:type="dxa"/>
              <w:right w:w="100" w:type="dxa"/>
            </w:tcMar>
          </w:tcPr>
          <w:p>
            <w:pPr>
              <w:jc w:val="left"/>
            </w:pPr>
            <w:r>
              <w:rPr>
                <w:rFonts w:ascii="Arial" w:hAnsi="Arial"/>
                <w:b/>
                <w:color w:val="282828"/>
                <w:sz w:val="19"/>
              </w:rPr>
              <w:t xml:space="preserve"> ESCUELA PROFESIONAL DE INGENIERÍA MECÁNICA ELÉCTRICA (EPIME)</w:t>
            </w:r>
          </w:p>
        </w:tc>
      </w:tr>
      <w:tr>
        <w:tc>
          <w:tcPr>
            <w:tcW w:type="dxa" w:w="4709"/>
            <w:tcMar>
              <w:top w:w="60" w:type="dxa"/>
              <w:bottom w:w="60" w:type="dxa"/>
              <w:left w:w="100" w:type="dxa"/>
              <w:right w:w="100" w:type="dxa"/>
            </w:tcMar>
          </w:tcPr>
          <w:p>
            <w:pPr>
              <w:jc w:val="left"/>
            </w:pPr>
            <w:r>
              <w:rPr>
                <w:rFonts w:ascii="Arial" w:hAnsi="Arial"/>
                <w:b/>
                <w:color w:val="0F2043"/>
                <w:sz w:val="19"/>
              </w:rPr>
              <w:t xml:space="preserve">      FACULTAD / UNIVERSIDAD  :</w:t>
            </w:r>
          </w:p>
        </w:tc>
        <w:tc>
          <w:tcPr>
            <w:tcW w:type="dxa" w:w="4709"/>
            <w:tcMar>
              <w:top w:w="60" w:type="dxa"/>
              <w:bottom w:w="60" w:type="dxa"/>
              <w:left w:w="100" w:type="dxa"/>
              <w:right w:w="100" w:type="dxa"/>
            </w:tcMar>
          </w:tcPr>
          <w:p>
            <w:pPr>
              <w:jc w:val="left"/>
            </w:pPr>
            <w:r>
              <w:rPr>
                <w:rFonts w:ascii="Arial" w:hAnsi="Arial"/>
                <w:b/>
                <w:color w:val="282828"/>
                <w:sz w:val="19"/>
              </w:rPr>
              <w:t xml:space="preserve"> FACULTAD DE INGENIERÍA MECÁNICA ELÉCTRICA / UNAP</w:t>
            </w:r>
          </w:p>
        </w:tc>
      </w:tr>
      <w:tr>
        <w:tc>
          <w:tcPr>
            <w:tcW w:type="dxa" w:w="4709"/>
            <w:tcMar>
              <w:top w:w="60" w:type="dxa"/>
              <w:bottom w:w="60" w:type="dxa"/>
              <w:left w:w="100" w:type="dxa"/>
              <w:right w:w="100" w:type="dxa"/>
            </w:tcMar>
          </w:tcPr>
          <w:p>
            <w:pPr>
              <w:jc w:val="left"/>
            </w:pPr>
            <w:r>
              <w:rPr>
                <w:rFonts w:ascii="Arial" w:hAnsi="Arial"/>
                <w:b/>
                <w:color w:val="0F2043"/>
                <w:sz w:val="19"/>
              </w:rPr>
              <w:t xml:space="preserve">      UBICACIÓN GEOGRÁFICA    :</w:t>
            </w:r>
          </w:p>
        </w:tc>
        <w:tc>
          <w:tcPr>
            <w:tcW w:type="dxa" w:w="4709"/>
            <w:tcMar>
              <w:top w:w="60" w:type="dxa"/>
              <w:bottom w:w="60" w:type="dxa"/>
              <w:left w:w="100" w:type="dxa"/>
              <w:right w:w="100" w:type="dxa"/>
            </w:tcMar>
          </w:tcPr>
          <w:p>
            <w:pPr>
              <w:jc w:val="left"/>
            </w:pPr>
            <w:r>
              <w:rPr>
                <w:rFonts w:ascii="Arial" w:hAnsi="Arial"/>
                <w:b/>
                <w:color w:val="282828"/>
                <w:sz w:val="19"/>
              </w:rPr>
              <w:t xml:space="preserve"> PUNO - PERÚ</w:t>
            </w:r>
          </w:p>
        </w:tc>
      </w:tr>
      <w:tr>
        <w:tc>
          <w:tcPr>
            <w:tcW w:type="dxa" w:w="4709"/>
            <w:tcMar>
              <w:top w:w="60" w:type="dxa"/>
              <w:bottom w:w="60" w:type="dxa"/>
              <w:left w:w="100" w:type="dxa"/>
              <w:right w:w="100" w:type="dxa"/>
            </w:tcMar>
          </w:tcPr>
          <w:p>
            <w:pPr>
              <w:jc w:val="left"/>
            </w:pPr>
            <w:r>
              <w:rPr>
                <w:rFonts w:ascii="Arial" w:hAnsi="Arial"/>
                <w:b/>
                <w:color w:val="0F2043"/>
                <w:sz w:val="19"/>
              </w:rPr>
              <w:t xml:space="preserve">      FECHA Y LÁMINA PLANO    :</w:t>
            </w:r>
          </w:p>
        </w:tc>
        <w:tc>
          <w:tcPr>
            <w:tcW w:type="dxa" w:w="4709"/>
            <w:tcMar>
              <w:top w:w="60" w:type="dxa"/>
              <w:bottom w:w="60" w:type="dxa"/>
              <w:left w:w="100" w:type="dxa"/>
              <w:right w:w="100" w:type="dxa"/>
            </w:tcMar>
          </w:tcPr>
          <w:p>
            <w:pPr>
              <w:jc w:val="left"/>
            </w:pPr>
            <w:r>
              <w:rPr>
                <w:rFonts w:ascii="Arial" w:hAnsi="Arial"/>
                <w:b/>
                <w:color w:val="282828"/>
                <w:sz w:val="19"/>
              </w:rPr>
              <w:t xml:space="preserve"> PUNO - JUNIO - 2026 | LÁMINA IE-01 (ESCALA 1:50)</w:t>
            </w:r>
          </w:p>
        </w:tc>
      </w:tr>
    </w:tbl>
    <w:p>
      <w:pPr>
        <w:spacing w:before="0" w:after="1200" w:line="276" w:lineRule="auto"/>
        <w:jc w:val="both"/>
      </w:pPr>
    </w:p>
    <w:p>
      <w:pPr>
        <w:spacing w:before="0" w:after="0" w:line="276" w:lineRule="auto"/>
        <w:jc w:val="center"/>
      </w:pPr>
      <w:r>
        <w:rPr>
          <w:rFonts w:ascii="Arial" w:hAnsi="Arial"/>
          <w:b/>
          <w:i w:val="0"/>
          <w:color w:val="0F2043"/>
          <w:sz w:val="22"/>
        </w:rPr>
        <w:t>PUNO - PERÚ - 2026</w:t>
      </w:r>
    </w:p>
    <w:p>
      <w:r>
        <w:br w:type="page"/>
      </w:r>
    </w:p>
    <w:p>
      <w:pPr>
        <w:keepNext/>
        <w:spacing w:before="280" w:after="80"/>
        <w:jc w:val="left"/>
      </w:pPr>
      <w:r>
        <w:rPr>
          <w:rFonts w:ascii="Arial" w:hAnsi="Arial"/>
          <w:b/>
          <w:color w:val="184C78"/>
          <w:sz w:val="24"/>
        </w:rPr>
        <w:t>ÍNDICE GENERAL DEL EXPEDIENTE TÉCNICO UNIFICADO COMPLETO (30+ PÁGINAS)</w:t>
      </w:r>
    </w:p>
    <w:p>
      <w:pPr>
        <w:spacing w:before="0" w:after="120" w:line="276" w:lineRule="auto"/>
        <w:ind w:firstLine="720"/>
        <w:jc w:val="both"/>
      </w:pPr>
      <w:r>
        <w:rPr>
          <w:rFonts w:ascii="Arial" w:hAnsi="Arial"/>
          <w:b w:val="0"/>
          <w:i w:val="0"/>
          <w:color w:val="000000"/>
          <w:sz w:val="22"/>
        </w:rPr>
        <w:t>El presente Expediente Técnico de Instalaciones Eléctricas de la Vivienda Unifamiliar de 3 Niveles ha sido compilado de forma integral en un único documento maestro dividida en cuatro partes fundamentales:</w:t>
      </w:r>
    </w:p>
    <w:p>
      <w:pPr>
        <w:spacing w:before="0" w:after="60" w:line="276" w:lineRule="auto"/>
        <w:jc w:val="both"/>
      </w:pPr>
      <w:r>
        <w:rPr>
          <w:rFonts w:ascii="Arial" w:hAnsi="Arial"/>
          <w:b/>
          <w:i w:val="0"/>
          <w:color w:val="0F2043"/>
          <w:sz w:val="22"/>
        </w:rPr>
        <w:t>PARTE I: MEMORIA DESCRIPTIVA EXHAUSTIVA</w:t>
      </w:r>
    </w:p>
    <w:p>
      <w:pPr>
        <w:spacing w:before="0" w:after="60" w:line="276" w:lineRule="auto"/>
        <w:ind w:firstLine="288"/>
        <w:jc w:val="both"/>
      </w:pPr>
      <w:r>
        <w:rPr>
          <w:rFonts w:ascii="Arial" w:hAnsi="Arial"/>
          <w:b w:val="0"/>
          <w:i w:val="0"/>
          <w:color w:val="323232"/>
          <w:sz w:val="22"/>
        </w:rPr>
        <w:t xml:space="preserve">  1.0 Objetivo del Proyecto y Marco General</w:t>
      </w:r>
    </w:p>
    <w:p>
      <w:pPr>
        <w:spacing w:before="0" w:after="60" w:line="276" w:lineRule="auto"/>
        <w:ind w:firstLine="288"/>
        <w:jc w:val="both"/>
      </w:pPr>
      <w:r>
        <w:rPr>
          <w:rFonts w:ascii="Arial" w:hAnsi="Arial"/>
          <w:b w:val="0"/>
          <w:i w:val="0"/>
          <w:color w:val="323232"/>
          <w:sz w:val="22"/>
        </w:rPr>
        <w:t xml:space="preserve">  2.0 Alcances del Proyecto de Instalaciones Eléctricas en Baja Tensión y Redes Auxiliares</w:t>
      </w:r>
    </w:p>
    <w:p>
      <w:pPr>
        <w:spacing w:before="0" w:after="60" w:line="276" w:lineRule="auto"/>
        <w:ind w:firstLine="288"/>
        <w:jc w:val="both"/>
      </w:pPr>
      <w:r>
        <w:rPr>
          <w:rFonts w:ascii="Arial" w:hAnsi="Arial"/>
          <w:b w:val="0"/>
          <w:i w:val="0"/>
          <w:color w:val="323232"/>
          <w:sz w:val="22"/>
        </w:rPr>
        <w:t xml:space="preserve">  3.0 Descripción del Proyecto y Distribución Arquitectónica Detallada</w:t>
      </w:r>
    </w:p>
    <w:p>
      <w:pPr>
        <w:spacing w:before="0" w:after="60" w:line="276" w:lineRule="auto"/>
        <w:ind w:firstLine="288"/>
        <w:jc w:val="both"/>
      </w:pPr>
      <w:r>
        <w:rPr>
          <w:rFonts w:ascii="Arial" w:hAnsi="Arial"/>
          <w:b w:val="0"/>
          <w:i w:val="0"/>
          <w:color w:val="323232"/>
          <w:sz w:val="22"/>
        </w:rPr>
        <w:t xml:space="preserve">      3.1 Primer Piso (Área Social, Servicio, Patio, Cisterna y Electrobombas)</w:t>
      </w:r>
    </w:p>
    <w:p>
      <w:pPr>
        <w:spacing w:before="0" w:after="60" w:line="276" w:lineRule="auto"/>
        <w:ind w:firstLine="288"/>
        <w:jc w:val="both"/>
      </w:pPr>
      <w:r>
        <w:rPr>
          <w:rFonts w:ascii="Arial" w:hAnsi="Arial"/>
          <w:b w:val="0"/>
          <w:i w:val="0"/>
          <w:color w:val="323232"/>
          <w:sz w:val="22"/>
        </w:rPr>
        <w:t xml:space="preserve">      3.2 Segundo Piso (Área Íntima, Dormitorios, Baños Privados y Comunes)</w:t>
      </w:r>
    </w:p>
    <w:p>
      <w:pPr>
        <w:spacing w:before="0" w:after="60" w:line="276" w:lineRule="auto"/>
        <w:ind w:firstLine="288"/>
        <w:jc w:val="both"/>
      </w:pPr>
      <w:r>
        <w:rPr>
          <w:rFonts w:ascii="Arial" w:hAnsi="Arial"/>
          <w:b w:val="0"/>
          <w:i w:val="0"/>
          <w:color w:val="323232"/>
          <w:sz w:val="22"/>
        </w:rPr>
        <w:t xml:space="preserve">      3.3 Azotea (Área de Lavandería, Tendedero, Depósito y Servicios)</w:t>
      </w:r>
    </w:p>
    <w:p>
      <w:pPr>
        <w:spacing w:before="0" w:after="60" w:line="276" w:lineRule="auto"/>
        <w:ind w:firstLine="288"/>
        <w:jc w:val="both"/>
      </w:pPr>
      <w:r>
        <w:rPr>
          <w:rFonts w:ascii="Arial" w:hAnsi="Arial"/>
          <w:b w:val="0"/>
          <w:i w:val="0"/>
          <w:color w:val="323232"/>
          <w:sz w:val="22"/>
        </w:rPr>
        <w:t xml:space="preserve">      3.4 Cuadro Detallado de Áreas Construidas y Ambientes Proyectados</w:t>
      </w:r>
    </w:p>
    <w:p>
      <w:pPr>
        <w:spacing w:before="0" w:after="60" w:line="276" w:lineRule="auto"/>
        <w:ind w:firstLine="288"/>
        <w:jc w:val="both"/>
      </w:pPr>
      <w:r>
        <w:rPr>
          <w:rFonts w:ascii="Arial" w:hAnsi="Arial"/>
          <w:b w:val="0"/>
          <w:i w:val="0"/>
          <w:color w:val="323232"/>
          <w:sz w:val="22"/>
        </w:rPr>
        <w:t xml:space="preserve">  4.0 Características del Sistema Eléctrico y Suministro</w:t>
      </w:r>
    </w:p>
    <w:p>
      <w:pPr>
        <w:spacing w:before="0" w:after="60" w:line="276" w:lineRule="auto"/>
        <w:ind w:firstLine="288"/>
        <w:jc w:val="both"/>
      </w:pPr>
      <w:r>
        <w:rPr>
          <w:rFonts w:ascii="Arial" w:hAnsi="Arial"/>
          <w:b w:val="0"/>
          <w:i w:val="0"/>
          <w:color w:val="323232"/>
          <w:sz w:val="22"/>
        </w:rPr>
        <w:t xml:space="preserve">      4.1 Suministro Eléctrico (Electro Puno S.A.A. 220V 3Ø 60Hz)</w:t>
      </w:r>
    </w:p>
    <w:p>
      <w:pPr>
        <w:spacing w:before="0" w:after="60" w:line="276" w:lineRule="auto"/>
        <w:ind w:firstLine="288"/>
        <w:jc w:val="both"/>
      </w:pPr>
      <w:r>
        <w:rPr>
          <w:rFonts w:ascii="Arial" w:hAnsi="Arial"/>
          <w:b w:val="0"/>
          <w:i w:val="0"/>
          <w:color w:val="323232"/>
          <w:sz w:val="22"/>
        </w:rPr>
        <w:t xml:space="preserve">      4.2 Potencia Instalada (18.25 kW) y Máxima Demanda (13.50 kW)</w:t>
      </w:r>
    </w:p>
    <w:p>
      <w:pPr>
        <w:spacing w:before="0" w:after="60" w:line="276" w:lineRule="auto"/>
        <w:ind w:firstLine="288"/>
        <w:jc w:val="both"/>
      </w:pPr>
      <w:r>
        <w:rPr>
          <w:rFonts w:ascii="Arial" w:hAnsi="Arial"/>
          <w:b w:val="0"/>
          <w:i w:val="0"/>
          <w:color w:val="323232"/>
          <w:sz w:val="22"/>
        </w:rPr>
        <w:t xml:space="preserve">      4.3 Corrientes de Diseño Nominal (In = 39.36 A, Id = 49.20 A)</w:t>
      </w:r>
    </w:p>
    <w:p>
      <w:pPr>
        <w:spacing w:before="0" w:after="60" w:line="276" w:lineRule="auto"/>
        <w:ind w:firstLine="288"/>
        <w:jc w:val="both"/>
      </w:pPr>
      <w:r>
        <w:rPr>
          <w:rFonts w:ascii="Arial" w:hAnsi="Arial"/>
          <w:b w:val="0"/>
          <w:i w:val="0"/>
          <w:color w:val="323232"/>
          <w:sz w:val="22"/>
        </w:rPr>
        <w:t xml:space="preserve">      4.4 Dimensionamiento del Alimentador Principal (NH-80)</w:t>
      </w:r>
    </w:p>
    <w:p>
      <w:pPr>
        <w:spacing w:before="0" w:after="60" w:line="276" w:lineRule="auto"/>
        <w:ind w:firstLine="288"/>
        <w:jc w:val="both"/>
      </w:pPr>
      <w:r>
        <w:rPr>
          <w:rFonts w:ascii="Arial" w:hAnsi="Arial"/>
          <w:b w:val="0"/>
          <w:i w:val="0"/>
          <w:color w:val="323232"/>
          <w:sz w:val="22"/>
        </w:rPr>
        <w:t xml:space="preserve">  5.0 Bases de Cálculo y Normativa de Cargas (CNE-U Tabla 14 y Tabla 22)</w:t>
      </w:r>
    </w:p>
    <w:p>
      <w:pPr>
        <w:spacing w:before="0" w:after="60" w:line="276" w:lineRule="auto"/>
        <w:ind w:firstLine="288"/>
        <w:jc w:val="both"/>
      </w:pPr>
      <w:r>
        <w:rPr>
          <w:rFonts w:ascii="Arial" w:hAnsi="Arial"/>
          <w:b w:val="0"/>
          <w:i w:val="0"/>
          <w:color w:val="323232"/>
          <w:sz w:val="22"/>
        </w:rPr>
        <w:t xml:space="preserve">  6.0 Cuadro Oficial de Cargas y Máxima Demanda paso a paso</w:t>
      </w:r>
    </w:p>
    <w:p>
      <w:pPr>
        <w:spacing w:before="0" w:after="60" w:line="276" w:lineRule="auto"/>
        <w:ind w:firstLine="288"/>
        <w:jc w:val="both"/>
      </w:pPr>
      <w:r>
        <w:rPr>
          <w:rFonts w:ascii="Arial" w:hAnsi="Arial"/>
          <w:b w:val="0"/>
          <w:i w:val="0"/>
          <w:color w:val="323232"/>
          <w:sz w:val="22"/>
        </w:rPr>
        <w:t xml:space="preserve">  7.0 Ubicación del Tablero General (TD) y Centros de Carga</w:t>
      </w:r>
    </w:p>
    <w:p>
      <w:pPr>
        <w:spacing w:before="0" w:after="60" w:line="276" w:lineRule="auto"/>
        <w:ind w:firstLine="288"/>
        <w:jc w:val="both"/>
      </w:pPr>
      <w:r>
        <w:rPr>
          <w:rFonts w:ascii="Arial" w:hAnsi="Arial"/>
          <w:b w:val="0"/>
          <w:i w:val="0"/>
          <w:color w:val="323232"/>
          <w:sz w:val="22"/>
        </w:rPr>
        <w:t xml:space="preserve">  8.0 Redes Complementarias y Telecomunicaciones (TV-Cable, Telefonía, Intercomunicador)</w:t>
      </w:r>
    </w:p>
    <w:p>
      <w:pPr>
        <w:spacing w:before="0" w:after="60" w:line="276" w:lineRule="auto"/>
        <w:ind w:firstLine="288"/>
        <w:jc w:val="both"/>
      </w:pPr>
      <w:r>
        <w:rPr>
          <w:rFonts w:ascii="Arial" w:hAnsi="Arial"/>
          <w:b w:val="0"/>
          <w:i w:val="0"/>
          <w:color w:val="323232"/>
          <w:sz w:val="22"/>
        </w:rPr>
        <w:t xml:space="preserve">  9.0 Normativa y Reglamentación Nacional e Internacional</w:t>
      </w:r>
    </w:p>
    <w:p>
      <w:pPr>
        <w:spacing w:before="0" w:after="60" w:line="276" w:lineRule="auto"/>
        <w:ind w:firstLine="288"/>
        <w:jc w:val="both"/>
      </w:pPr>
      <w:r>
        <w:rPr>
          <w:rFonts w:ascii="Arial" w:hAnsi="Arial"/>
          <w:b w:val="0"/>
          <w:i w:val="0"/>
          <w:color w:val="323232"/>
          <w:sz w:val="22"/>
        </w:rPr>
        <w:t xml:space="preserve">  10.0 Simbología Reglamentaria DGE del Ministerio de Energía y Minas (MEM)</w:t>
      </w:r>
    </w:p>
    <w:p>
      <w:pPr>
        <w:spacing w:before="0" w:after="60" w:line="276" w:lineRule="auto"/>
        <w:ind w:firstLine="288"/>
        <w:jc w:val="both"/>
      </w:pPr>
      <w:r>
        <w:rPr>
          <w:rFonts w:ascii="Arial" w:hAnsi="Arial"/>
          <w:b w:val="0"/>
          <w:i w:val="0"/>
          <w:color w:val="323232"/>
          <w:sz w:val="22"/>
        </w:rPr>
        <w:t xml:space="preserve">  11.0 REPRODUCCIÓN Y ESQUEMA DEL PLANO DE INSTALACIONES ELÉCTRICAS (LÁMINA IE-01)</w:t>
      </w:r>
    </w:p>
    <w:p>
      <w:pPr>
        <w:spacing w:before="0" w:after="60" w:line="276" w:lineRule="auto"/>
        <w:ind w:firstLine="288"/>
        <w:jc w:val="both"/>
      </w:pPr>
      <w:r>
        <w:rPr>
          <w:rFonts w:ascii="Arial" w:hAnsi="Arial"/>
          <w:b w:val="0"/>
          <w:i w:val="0"/>
          <w:color w:val="323232"/>
          <w:sz w:val="22"/>
        </w:rPr>
        <w:t xml:space="preserve">      - Figura 3: Reproducción y Esquema del Plano de Diego Charaja (Lámina IE-01, Escala 1:50)</w:t>
      </w:r>
    </w:p>
    <w:p>
      <w:pPr>
        <w:spacing w:before="0" w:after="60" w:line="276" w:lineRule="auto"/>
        <w:jc w:val="both"/>
      </w:pPr>
      <w:r>
        <w:rPr>
          <w:rFonts w:ascii="Arial" w:hAnsi="Arial"/>
          <w:b/>
          <w:i w:val="0"/>
          <w:color w:val="0F2043"/>
          <w:sz w:val="22"/>
        </w:rPr>
        <w:t>PARTE II: CÁLCULOS JUSTIFICATORIOS Y DIAGRAMA UNIFILAR DETALLADO</w:t>
      </w:r>
    </w:p>
    <w:p>
      <w:pPr>
        <w:spacing w:before="0" w:after="60" w:line="276" w:lineRule="auto"/>
        <w:ind w:firstLine="288"/>
        <w:jc w:val="both"/>
      </w:pPr>
      <w:r>
        <w:rPr>
          <w:rFonts w:ascii="Arial" w:hAnsi="Arial"/>
          <w:b w:val="0"/>
          <w:i w:val="0"/>
          <w:color w:val="323232"/>
          <w:sz w:val="22"/>
        </w:rPr>
        <w:t xml:space="preserve">  2.1 Introducción y Criterios de Diseño Eléctrico</w:t>
      </w:r>
    </w:p>
    <w:p>
      <w:pPr>
        <w:spacing w:before="0" w:after="60" w:line="276" w:lineRule="auto"/>
        <w:ind w:firstLine="288"/>
        <w:jc w:val="both"/>
      </w:pPr>
      <w:r>
        <w:rPr>
          <w:rFonts w:ascii="Arial" w:hAnsi="Arial"/>
          <w:b w:val="0"/>
          <w:i w:val="0"/>
          <w:color w:val="323232"/>
          <w:sz w:val="22"/>
        </w:rPr>
        <w:t xml:space="preserve">      2.1.1 Criterio de Capacidad de Corriente (Ampacidad)</w:t>
      </w:r>
    </w:p>
    <w:p>
      <w:pPr>
        <w:spacing w:before="0" w:after="60" w:line="276" w:lineRule="auto"/>
        <w:ind w:firstLine="288"/>
        <w:jc w:val="both"/>
      </w:pPr>
      <w:r>
        <w:rPr>
          <w:rFonts w:ascii="Arial" w:hAnsi="Arial"/>
          <w:b w:val="0"/>
          <w:i w:val="0"/>
          <w:color w:val="323232"/>
          <w:sz w:val="22"/>
        </w:rPr>
        <w:t xml:space="preserve">      2.1.2 Criterio de Caída de Tensión (ΔV ≤ 2.5% Alimentador / ≤ 4.0% Total)</w:t>
      </w:r>
    </w:p>
    <w:p>
      <w:pPr>
        <w:spacing w:before="0" w:after="60" w:line="276" w:lineRule="auto"/>
        <w:ind w:firstLine="288"/>
        <w:jc w:val="both"/>
      </w:pPr>
      <w:r>
        <w:rPr>
          <w:rFonts w:ascii="Arial" w:hAnsi="Arial"/>
          <w:b w:val="0"/>
          <w:i w:val="0"/>
          <w:color w:val="323232"/>
          <w:sz w:val="22"/>
        </w:rPr>
        <w:t xml:space="preserve">      2.1.3 Criterio de Protección Térmica y Diferencial (30 mA)</w:t>
      </w:r>
    </w:p>
    <w:p>
      <w:pPr>
        <w:spacing w:before="0" w:after="60" w:line="276" w:lineRule="auto"/>
        <w:ind w:firstLine="288"/>
        <w:jc w:val="both"/>
      </w:pPr>
      <w:r>
        <w:rPr>
          <w:rFonts w:ascii="Arial" w:hAnsi="Arial"/>
          <w:b w:val="0"/>
          <w:i w:val="0"/>
          <w:color w:val="323232"/>
          <w:sz w:val="22"/>
        </w:rPr>
        <w:t xml:space="preserve">  2.2 Fórmulas Empleadas y Desarrollo Matemático paso a paso</w:t>
      </w:r>
    </w:p>
    <w:p>
      <w:pPr>
        <w:spacing w:before="0" w:after="60" w:line="276" w:lineRule="auto"/>
        <w:ind w:firstLine="288"/>
        <w:jc w:val="both"/>
      </w:pPr>
      <w:r>
        <w:rPr>
          <w:rFonts w:ascii="Arial" w:hAnsi="Arial"/>
          <w:b w:val="0"/>
          <w:i w:val="0"/>
          <w:color w:val="323232"/>
          <w:sz w:val="22"/>
        </w:rPr>
        <w:t xml:space="preserve">  2.3 Sustento Detallado del Cuadro de Cargas Circuito por Circuito (C-1 a C-8)</w:t>
      </w:r>
    </w:p>
    <w:p>
      <w:pPr>
        <w:spacing w:before="0" w:after="60" w:line="276" w:lineRule="auto"/>
        <w:ind w:firstLine="288"/>
        <w:jc w:val="both"/>
      </w:pPr>
      <w:r>
        <w:rPr>
          <w:rFonts w:ascii="Arial" w:hAnsi="Arial"/>
          <w:b w:val="0"/>
          <w:i w:val="0"/>
          <w:color w:val="323232"/>
          <w:sz w:val="22"/>
        </w:rPr>
        <w:t xml:space="preserve">  2.4 Cálculo Justificatorio del Alimentador General (Valores numéricos exactos)</w:t>
      </w:r>
    </w:p>
    <w:p>
      <w:pPr>
        <w:spacing w:before="0" w:after="60" w:line="276" w:lineRule="auto"/>
        <w:ind w:firstLine="288"/>
        <w:jc w:val="both"/>
      </w:pPr>
      <w:r>
        <w:rPr>
          <w:rFonts w:ascii="Arial" w:hAnsi="Arial"/>
          <w:b w:val="0"/>
          <w:i w:val="0"/>
          <w:color w:val="323232"/>
          <w:sz w:val="22"/>
        </w:rPr>
        <w:t xml:space="preserve">  2.5 ESQUEMA Y ESPECIFICACIÓN DETALLADA DEL DIAGRAMA UNIFILAR (NORMA PERÚ)</w:t>
      </w:r>
    </w:p>
    <w:p>
      <w:pPr>
        <w:spacing w:before="0" w:after="60" w:line="276" w:lineRule="auto"/>
        <w:ind w:firstLine="288"/>
        <w:jc w:val="both"/>
      </w:pPr>
      <w:r>
        <w:rPr>
          <w:rFonts w:ascii="Arial" w:hAnsi="Arial"/>
          <w:b w:val="0"/>
          <w:i w:val="0"/>
          <w:color w:val="323232"/>
          <w:sz w:val="22"/>
        </w:rPr>
        <w:t xml:space="preserve">      2.5.1 Suministro y Acometida Eléctrica (Electro Puno S.A.A.)</w:t>
      </w:r>
    </w:p>
    <w:p>
      <w:pPr>
        <w:spacing w:before="0" w:after="60" w:line="276" w:lineRule="auto"/>
        <w:ind w:firstLine="288"/>
        <w:jc w:val="both"/>
      </w:pPr>
      <w:r>
        <w:rPr>
          <w:rFonts w:ascii="Arial" w:hAnsi="Arial"/>
          <w:b w:val="0"/>
          <w:i w:val="0"/>
          <w:color w:val="323232"/>
          <w:sz w:val="22"/>
        </w:rPr>
        <w:t xml:space="preserve">      2.5.2 Medidor de Energía M-1 y Caja de Toma L-T</w:t>
      </w:r>
    </w:p>
    <w:p>
      <w:pPr>
        <w:spacing w:before="0" w:after="60" w:line="276" w:lineRule="auto"/>
        <w:ind w:firstLine="288"/>
        <w:jc w:val="both"/>
      </w:pPr>
      <w:r>
        <w:rPr>
          <w:rFonts w:ascii="Arial" w:hAnsi="Arial"/>
          <w:b w:val="0"/>
          <w:i w:val="0"/>
          <w:color w:val="323232"/>
          <w:sz w:val="22"/>
        </w:rPr>
        <w:t xml:space="preserve">      2.5.3 Interruptor General Termomagnético (3x40A, 10 kA)</w:t>
      </w:r>
    </w:p>
    <w:p>
      <w:pPr>
        <w:spacing w:before="0" w:after="60" w:line="276" w:lineRule="auto"/>
        <w:ind w:firstLine="288"/>
        <w:jc w:val="both"/>
      </w:pPr>
      <w:r>
        <w:rPr>
          <w:rFonts w:ascii="Arial" w:hAnsi="Arial"/>
          <w:b w:val="0"/>
          <w:i w:val="0"/>
          <w:color w:val="323232"/>
          <w:sz w:val="22"/>
        </w:rPr>
        <w:t xml:space="preserve">      2.5.4 Barras Colectoras R-S-T y Peinado de Fases Trifásico</w:t>
      </w:r>
    </w:p>
    <w:p>
      <w:pPr>
        <w:spacing w:before="0" w:after="60" w:line="276" w:lineRule="auto"/>
        <w:ind w:firstLine="288"/>
        <w:jc w:val="both"/>
      </w:pPr>
      <w:r>
        <w:rPr>
          <w:rFonts w:ascii="Arial" w:hAnsi="Arial"/>
          <w:b w:val="0"/>
          <w:i w:val="0"/>
          <w:color w:val="323232"/>
          <w:sz w:val="22"/>
        </w:rPr>
        <w:t xml:space="preserve">      2.5.5 Desglose Específico Circuito por Circuito (C-1 a C-8)</w:t>
      </w:r>
    </w:p>
    <w:p>
      <w:pPr>
        <w:spacing w:before="0" w:after="60" w:line="276" w:lineRule="auto"/>
        <w:ind w:firstLine="288"/>
        <w:jc w:val="both"/>
      </w:pPr>
      <w:r>
        <w:rPr>
          <w:rFonts w:ascii="Arial" w:hAnsi="Arial"/>
          <w:b w:val="0"/>
          <w:i w:val="0"/>
          <w:color w:val="323232"/>
          <w:sz w:val="22"/>
        </w:rPr>
        <w:t xml:space="preserve">      - Figura 1: Diagrama Unifilar del Tablero General TD (Estándar Planos Perú)</w:t>
      </w:r>
    </w:p>
    <w:p>
      <w:pPr>
        <w:spacing w:before="0" w:after="60" w:line="276" w:lineRule="auto"/>
        <w:ind w:firstLine="288"/>
        <w:jc w:val="both"/>
      </w:pPr>
      <w:r>
        <w:rPr>
          <w:rFonts w:ascii="Arial" w:hAnsi="Arial"/>
          <w:b w:val="0"/>
          <w:i w:val="0"/>
          <w:color w:val="323232"/>
          <w:sz w:val="22"/>
        </w:rPr>
        <w:t xml:space="preserve">  2.6 Cuadro Completo de Dimensionamiento de Circuitos Derivados</w:t>
      </w:r>
    </w:p>
    <w:p>
      <w:pPr>
        <w:spacing w:before="0" w:after="60" w:line="276" w:lineRule="auto"/>
        <w:ind w:firstLine="288"/>
        <w:jc w:val="both"/>
      </w:pPr>
      <w:r>
        <w:rPr>
          <w:rFonts w:ascii="Arial" w:hAnsi="Arial"/>
          <w:b w:val="0"/>
          <w:i w:val="0"/>
          <w:color w:val="323232"/>
          <w:sz w:val="22"/>
        </w:rPr>
        <w:t xml:space="preserve">  2.7 Dimensionamiento y Peinado del Tablero General (TD de 36 Polos trifásico)</w:t>
      </w:r>
    </w:p>
    <w:p>
      <w:pPr>
        <w:spacing w:before="0" w:after="60" w:line="276" w:lineRule="auto"/>
        <w:ind w:firstLine="288"/>
        <w:jc w:val="both"/>
      </w:pPr>
      <w:r>
        <w:rPr>
          <w:rFonts w:ascii="Arial" w:hAnsi="Arial"/>
          <w:b w:val="0"/>
          <w:i w:val="0"/>
          <w:color w:val="323232"/>
          <w:sz w:val="22"/>
        </w:rPr>
        <w:t xml:space="preserve">  2.8 Cálculo de Ocupación de Conducciones y Tubos PVC (Ocupación ≤ 40%)</w:t>
      </w:r>
    </w:p>
    <w:p>
      <w:pPr>
        <w:spacing w:before="0" w:after="60" w:line="276" w:lineRule="auto"/>
        <w:ind w:firstLine="288"/>
        <w:jc w:val="both"/>
      </w:pPr>
      <w:r>
        <w:rPr>
          <w:rFonts w:ascii="Arial" w:hAnsi="Arial"/>
          <w:b w:val="0"/>
          <w:i w:val="0"/>
          <w:color w:val="323232"/>
          <w:sz w:val="22"/>
        </w:rPr>
        <w:t xml:space="preserve">  2.9 Cálculos de Iluminación y Niveles de Lux por Ambiente (RNE EM.010 / EM.020)</w:t>
      </w:r>
    </w:p>
    <w:p>
      <w:pPr>
        <w:spacing w:before="0" w:after="60" w:line="276" w:lineRule="auto"/>
        <w:ind w:firstLine="288"/>
        <w:jc w:val="both"/>
      </w:pPr>
      <w:r>
        <w:rPr>
          <w:rFonts w:ascii="Arial" w:hAnsi="Arial"/>
          <w:b w:val="0"/>
          <w:i w:val="0"/>
          <w:color w:val="323232"/>
          <w:sz w:val="22"/>
        </w:rPr>
        <w:t xml:space="preserve">  2.10 Cálculo de Cortocircuito Estimado en Barras del Tablero General (Icc ≈ 2.85 kA)</w:t>
      </w:r>
    </w:p>
    <w:p>
      <w:pPr>
        <w:spacing w:before="0" w:after="60" w:line="276" w:lineRule="auto"/>
        <w:jc w:val="both"/>
      </w:pPr>
      <w:r>
        <w:rPr>
          <w:rFonts w:ascii="Arial" w:hAnsi="Arial"/>
          <w:b/>
          <w:i w:val="0"/>
          <w:color w:val="0F2043"/>
          <w:sz w:val="22"/>
        </w:rPr>
        <w:t>PARTE III: ESPECIFICACIONES TÉCNICAS DE EQUIPOS Y MATERIALES</w:t>
      </w:r>
    </w:p>
    <w:p>
      <w:pPr>
        <w:spacing w:before="0" w:after="60" w:line="276" w:lineRule="auto"/>
        <w:ind w:firstLine="288"/>
        <w:jc w:val="both"/>
      </w:pPr>
      <w:r>
        <w:rPr>
          <w:rFonts w:ascii="Arial" w:hAnsi="Arial"/>
          <w:b w:val="0"/>
          <w:i w:val="0"/>
          <w:color w:val="323232"/>
          <w:sz w:val="22"/>
        </w:rPr>
        <w:t xml:space="preserve">  1. GENERALIDADES Y MARCO NORMATIVO</w:t>
      </w:r>
    </w:p>
    <w:p>
      <w:pPr>
        <w:spacing w:before="0" w:after="60" w:line="276" w:lineRule="auto"/>
        <w:ind w:firstLine="288"/>
        <w:jc w:val="both"/>
      </w:pPr>
      <w:r>
        <w:rPr>
          <w:rFonts w:ascii="Arial" w:hAnsi="Arial"/>
          <w:b w:val="0"/>
          <w:i w:val="0"/>
          <w:color w:val="323232"/>
          <w:sz w:val="22"/>
        </w:rPr>
        <w:t xml:space="preserve">  2. ESPECIFICACIONES TÉCNICAS DE MATERIALES</w:t>
      </w:r>
    </w:p>
    <w:p>
      <w:pPr>
        <w:spacing w:before="0" w:after="60" w:line="276" w:lineRule="auto"/>
        <w:ind w:firstLine="288"/>
        <w:jc w:val="both"/>
      </w:pPr>
      <w:r>
        <w:rPr>
          <w:rFonts w:ascii="Arial" w:hAnsi="Arial"/>
          <w:b w:val="0"/>
          <w:i w:val="0"/>
          <w:color w:val="323232"/>
          <w:sz w:val="22"/>
        </w:rPr>
        <w:t xml:space="preserve">      2.1 Tuberías Eléctricas de PVC (PVC-P SAP y PVC-L SEL)</w:t>
      </w:r>
    </w:p>
    <w:p>
      <w:pPr>
        <w:spacing w:before="0" w:after="60" w:line="276" w:lineRule="auto"/>
        <w:ind w:firstLine="288"/>
        <w:jc w:val="both"/>
      </w:pPr>
      <w:r>
        <w:rPr>
          <w:rFonts w:ascii="Arial" w:hAnsi="Arial"/>
          <w:b w:val="0"/>
          <w:i w:val="0"/>
          <w:color w:val="323232"/>
          <w:sz w:val="22"/>
        </w:rPr>
        <w:t xml:space="preserve">      2.2 Cajas Metálicas para Salidas y Pase (F°G° pesado 1.59 mm)</w:t>
      </w:r>
    </w:p>
    <w:p>
      <w:pPr>
        <w:spacing w:before="0" w:after="60" w:line="276" w:lineRule="auto"/>
        <w:ind w:firstLine="288"/>
        <w:jc w:val="both"/>
      </w:pPr>
      <w:r>
        <w:rPr>
          <w:rFonts w:ascii="Arial" w:hAnsi="Arial"/>
          <w:b w:val="0"/>
          <w:i w:val="0"/>
          <w:color w:val="323232"/>
          <w:sz w:val="22"/>
        </w:rPr>
        <w:t xml:space="preserve">      2.3 Conductores Eléctricos Cero Halógenos (NH-80 / N2XH) y Código de Colores</w:t>
      </w:r>
    </w:p>
    <w:p>
      <w:pPr>
        <w:spacing w:before="0" w:after="60" w:line="276" w:lineRule="auto"/>
        <w:ind w:firstLine="288"/>
        <w:jc w:val="both"/>
      </w:pPr>
      <w:r>
        <w:rPr>
          <w:rFonts w:ascii="Arial" w:hAnsi="Arial"/>
          <w:b w:val="0"/>
          <w:i w:val="0"/>
          <w:color w:val="323232"/>
          <w:sz w:val="22"/>
        </w:rPr>
        <w:t xml:space="preserve">      2.4 Tableros Eléctricos de Distribución (Gabinete metálico LAF 1.5 mm, IP41/IK08)</w:t>
      </w:r>
    </w:p>
    <w:p>
      <w:pPr>
        <w:spacing w:before="0" w:after="60" w:line="276" w:lineRule="auto"/>
        <w:ind w:firstLine="288"/>
        <w:jc w:val="both"/>
      </w:pPr>
      <w:r>
        <w:rPr>
          <w:rFonts w:ascii="Arial" w:hAnsi="Arial"/>
          <w:b w:val="0"/>
          <w:i w:val="0"/>
          <w:color w:val="323232"/>
          <w:sz w:val="22"/>
        </w:rPr>
        <w:t xml:space="preserve">  3. DISPOSITIVOS Y EQUIPOS VARIOS</w:t>
      </w:r>
    </w:p>
    <w:p>
      <w:pPr>
        <w:spacing w:before="0" w:after="60" w:line="276" w:lineRule="auto"/>
        <w:ind w:firstLine="288"/>
        <w:jc w:val="both"/>
      </w:pPr>
      <w:r>
        <w:rPr>
          <w:rFonts w:ascii="Arial" w:hAnsi="Arial"/>
          <w:b w:val="0"/>
          <w:i w:val="0"/>
          <w:color w:val="323232"/>
          <w:sz w:val="22"/>
        </w:rPr>
        <w:t xml:space="preserve">      3.1 Interruptores para Alumbrado (10A/16A 250V)</w:t>
      </w:r>
    </w:p>
    <w:p>
      <w:pPr>
        <w:spacing w:before="0" w:after="60" w:line="276" w:lineRule="auto"/>
        <w:ind w:firstLine="288"/>
        <w:jc w:val="both"/>
      </w:pPr>
      <w:r>
        <w:rPr>
          <w:rFonts w:ascii="Arial" w:hAnsi="Arial"/>
          <w:b w:val="0"/>
          <w:i w:val="0"/>
          <w:color w:val="323232"/>
          <w:sz w:val="22"/>
        </w:rPr>
        <w:t xml:space="preserve">      3.2 Tomacorrientes Generales y de Fuerza (2P 16A con obturadores infantiles)</w:t>
      </w:r>
    </w:p>
    <w:p>
      <w:pPr>
        <w:spacing w:before="0" w:after="60" w:line="276" w:lineRule="auto"/>
        <w:ind w:firstLine="288"/>
        <w:jc w:val="both"/>
      </w:pPr>
      <w:r>
        <w:rPr>
          <w:rFonts w:ascii="Arial" w:hAnsi="Arial"/>
          <w:b w:val="0"/>
          <w:i w:val="0"/>
          <w:color w:val="323232"/>
          <w:sz w:val="22"/>
        </w:rPr>
        <w:t xml:space="preserve">      3.3 Artefactos de Iluminación LED (≥ 100 lm/W)</w:t>
      </w:r>
    </w:p>
    <w:p>
      <w:pPr>
        <w:spacing w:before="0" w:after="60" w:line="276" w:lineRule="auto"/>
        <w:ind w:firstLine="288"/>
        <w:jc w:val="both"/>
      </w:pPr>
      <w:r>
        <w:rPr>
          <w:rFonts w:ascii="Arial" w:hAnsi="Arial"/>
          <w:b w:val="0"/>
          <w:i w:val="0"/>
          <w:color w:val="323232"/>
          <w:sz w:val="22"/>
        </w:rPr>
        <w:t xml:space="preserve">      3.4 Equipos Autónomos de Alumbrado de Emergencia (Ni-Cd/Litio ≥ 90 min)</w:t>
      </w:r>
    </w:p>
    <w:p>
      <w:pPr>
        <w:spacing w:before="0" w:after="60" w:line="276" w:lineRule="auto"/>
        <w:ind w:firstLine="288"/>
        <w:jc w:val="both"/>
      </w:pPr>
      <w:r>
        <w:rPr>
          <w:rFonts w:ascii="Arial" w:hAnsi="Arial"/>
          <w:b w:val="0"/>
          <w:i w:val="0"/>
          <w:color w:val="323232"/>
          <w:sz w:val="22"/>
        </w:rPr>
        <w:t xml:space="preserve">  4. PRUEBAS ELECTROMECÁNICAS Y PUESTA EN SERVICIO</w:t>
      </w:r>
    </w:p>
    <w:p>
      <w:pPr>
        <w:spacing w:before="0" w:after="60" w:line="276" w:lineRule="auto"/>
        <w:ind w:firstLine="288"/>
        <w:jc w:val="both"/>
      </w:pPr>
      <w:r>
        <w:rPr>
          <w:rFonts w:ascii="Arial" w:hAnsi="Arial"/>
          <w:b w:val="0"/>
          <w:i w:val="0"/>
          <w:color w:val="323232"/>
          <w:sz w:val="22"/>
        </w:rPr>
        <w:t xml:space="preserve">      4.1 Pruebas de Resistencia de Aislamiento (Megado 500V DC ≥ 50 MΩ)</w:t>
      </w:r>
    </w:p>
    <w:p>
      <w:pPr>
        <w:spacing w:before="0" w:after="60" w:line="276" w:lineRule="auto"/>
        <w:ind w:firstLine="288"/>
        <w:jc w:val="both"/>
      </w:pPr>
      <w:r>
        <w:rPr>
          <w:rFonts w:ascii="Arial" w:hAnsi="Arial"/>
          <w:b w:val="0"/>
          <w:i w:val="0"/>
          <w:color w:val="323232"/>
          <w:sz w:val="22"/>
        </w:rPr>
        <w:t xml:space="preserve">      4.2 Prueba de Continuidade Aislamiento de Conductores</w:t>
      </w:r>
    </w:p>
    <w:p>
      <w:pPr>
        <w:spacing w:before="0" w:after="60" w:line="276" w:lineRule="auto"/>
        <w:ind w:firstLine="288"/>
        <w:jc w:val="both"/>
      </w:pPr>
      <w:r>
        <w:rPr>
          <w:rFonts w:ascii="Arial" w:hAnsi="Arial"/>
          <w:b w:val="0"/>
          <w:i w:val="0"/>
          <w:color w:val="323232"/>
          <w:sz w:val="22"/>
        </w:rPr>
        <w:t xml:space="preserve">      4.3 Prueba de Disparo de Interruptores Diferenciales (30 mA, t ≤ 40 ms)</w:t>
      </w:r>
    </w:p>
    <w:p>
      <w:pPr>
        <w:spacing w:before="0" w:after="60" w:line="276" w:lineRule="auto"/>
        <w:ind w:firstLine="288"/>
        <w:jc w:val="both"/>
      </w:pPr>
      <w:r>
        <w:rPr>
          <w:rFonts w:ascii="Arial" w:hAnsi="Arial"/>
          <w:b w:val="0"/>
          <w:i w:val="0"/>
          <w:color w:val="323232"/>
          <w:sz w:val="22"/>
        </w:rPr>
        <w:t xml:space="preserve">  5. ESPECIFICACIONES DE MONTAJE Y PLAN DE MANTENIMIENTO PREVENTIVO ANUAL</w:t>
      </w:r>
    </w:p>
    <w:p>
      <w:pPr>
        <w:spacing w:before="0" w:after="60" w:line="276" w:lineRule="auto"/>
        <w:ind w:firstLine="288"/>
        <w:jc w:val="both"/>
      </w:pPr>
      <w:r>
        <w:rPr>
          <w:rFonts w:ascii="Arial" w:hAnsi="Arial"/>
          <w:b w:val="0"/>
          <w:i w:val="0"/>
          <w:color w:val="323232"/>
          <w:sz w:val="22"/>
        </w:rPr>
        <w:t xml:space="preserve">  6. PLANOS AS-BUILT Y DOCUMENTACIÓN FINAL</w:t>
      </w:r>
    </w:p>
    <w:p>
      <w:pPr>
        <w:spacing w:before="0" w:after="60" w:line="276" w:lineRule="auto"/>
        <w:jc w:val="both"/>
      </w:pPr>
      <w:r>
        <w:rPr>
          <w:rFonts w:ascii="Arial" w:hAnsi="Arial"/>
          <w:b/>
          <w:i w:val="0"/>
          <w:color w:val="0F2043"/>
          <w:sz w:val="22"/>
        </w:rPr>
        <w:t>PARTE IV: MATRIZ DE INCONSISTENCIAS Y PROPUESTAS TÉCNICAS DE MEJORA</w:t>
      </w:r>
    </w:p>
    <w:p>
      <w:pPr>
        <w:spacing w:before="0" w:after="60" w:line="276" w:lineRule="auto"/>
        <w:ind w:firstLine="288"/>
        <w:jc w:val="both"/>
      </w:pPr>
      <w:r>
        <w:rPr>
          <w:rFonts w:ascii="Arial" w:hAnsi="Arial"/>
          <w:b w:val="0"/>
          <w:i w:val="0"/>
          <w:color w:val="323232"/>
          <w:sz w:val="22"/>
        </w:rPr>
        <w:t xml:space="preserve">  1.0 Presentación e Importancia de la Auditoría Técnica</w:t>
      </w:r>
    </w:p>
    <w:p>
      <w:pPr>
        <w:spacing w:before="0" w:after="60" w:line="276" w:lineRule="auto"/>
        <w:ind w:firstLine="288"/>
        <w:jc w:val="both"/>
      </w:pPr>
      <w:r>
        <w:rPr>
          <w:rFonts w:ascii="Arial" w:hAnsi="Arial"/>
          <w:b w:val="0"/>
          <w:i w:val="0"/>
          <w:color w:val="323232"/>
          <w:sz w:val="22"/>
        </w:rPr>
        <w:t xml:space="preserve">  2.0 Matriz Consolidada de Inconsistencias y Soluciones Técnicas</w:t>
      </w:r>
    </w:p>
    <w:p>
      <w:pPr>
        <w:spacing w:before="0" w:after="60" w:line="276" w:lineRule="auto"/>
        <w:ind w:firstLine="288"/>
        <w:jc w:val="both"/>
      </w:pPr>
      <w:r>
        <w:rPr>
          <w:rFonts w:ascii="Arial" w:hAnsi="Arial"/>
          <w:b w:val="0"/>
          <w:i w:val="0"/>
          <w:color w:val="323232"/>
          <w:sz w:val="22"/>
        </w:rPr>
        <w:t xml:space="preserve">  3.0 Justificación Detallada de Propuestas Técnicas e Inferencias de Ingeniería</w:t>
      </w:r>
    </w:p>
    <w:p>
      <w:pPr>
        <w:spacing w:before="0" w:after="60" w:line="276" w:lineRule="auto"/>
        <w:ind w:firstLine="288"/>
        <w:jc w:val="both"/>
      </w:pPr>
      <w:r>
        <w:rPr>
          <w:rFonts w:ascii="Arial" w:hAnsi="Arial"/>
          <w:b w:val="0"/>
          <w:i w:val="0"/>
          <w:color w:val="323232"/>
          <w:sz w:val="22"/>
        </w:rPr>
        <w:t xml:space="preserve">      3.1 Cambio de Concesionaria Eléctrica a Electro Puno S.A.A.</w:t>
      </w:r>
    </w:p>
    <w:p>
      <w:pPr>
        <w:spacing w:before="0" w:after="60" w:line="276" w:lineRule="auto"/>
        <w:ind w:firstLine="288"/>
        <w:jc w:val="both"/>
      </w:pPr>
      <w:r>
        <w:rPr>
          <w:rFonts w:ascii="Arial" w:hAnsi="Arial"/>
          <w:b w:val="0"/>
          <w:i w:val="0"/>
          <w:color w:val="323232"/>
          <w:sz w:val="22"/>
        </w:rPr>
        <w:t xml:space="preserve">      3.2 Adecuación de Tipología Residencial a Vivienda Unifamiliar de 3 Niveles</w:t>
      </w:r>
    </w:p>
    <w:p>
      <w:pPr>
        <w:spacing w:before="0" w:after="60" w:line="276" w:lineRule="auto"/>
        <w:ind w:firstLine="288"/>
        <w:jc w:val="both"/>
      </w:pPr>
      <w:r>
        <w:rPr>
          <w:rFonts w:ascii="Arial" w:hAnsi="Arial"/>
          <w:b w:val="0"/>
          <w:i w:val="0"/>
          <w:color w:val="323232"/>
          <w:sz w:val="22"/>
        </w:rPr>
        <w:t xml:space="preserve">      3.3 Implementación Obligatoria de Protecciones Diferenciales (30 mA)</w:t>
      </w:r>
    </w:p>
    <w:p>
      <w:pPr>
        <w:spacing w:before="0" w:after="60" w:line="276" w:lineRule="auto"/>
        <w:ind w:firstLine="288"/>
        <w:jc w:val="both"/>
      </w:pPr>
      <w:r>
        <w:rPr>
          <w:rFonts w:ascii="Arial" w:hAnsi="Arial"/>
          <w:b w:val="0"/>
          <w:i w:val="0"/>
          <w:color w:val="323232"/>
          <w:sz w:val="22"/>
        </w:rPr>
        <w:t xml:space="preserve">      3.4 Selección de Conductores Ecológicos Cero Halógenos (NH-80 / N2XH)</w:t>
      </w:r>
    </w:p>
    <w:p>
      <w:pPr>
        <w:spacing w:before="0" w:after="60" w:line="276" w:lineRule="auto"/>
        <w:ind w:firstLine="288"/>
        <w:jc w:val="both"/>
      </w:pPr>
      <w:r>
        <w:rPr>
          <w:rFonts w:ascii="Arial" w:hAnsi="Arial"/>
          <w:b w:val="0"/>
          <w:i w:val="0"/>
          <w:color w:val="323232"/>
          <w:sz w:val="22"/>
        </w:rPr>
        <w:t xml:space="preserve">      3.5 Redimensionamiento del Tablero General a 36 Polos</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40" w:after="200"/>
        <w:jc w:val="center"/>
      </w:pPr>
      <w:r>
        <w:rPr>
          <w:rFonts w:ascii="Arial" w:hAnsi="Arial"/>
          <w:b/>
          <w:color w:val="0F2043"/>
          <w:sz w:val="28"/>
        </w:rPr>
        <w:t>I. MEMORIA DESCRIPTIVA EXHAUSTIVA</w:t>
      </w:r>
    </w:p>
    <w:p>
      <w:pPr>
        <w:keepNext/>
        <w:spacing w:before="280" w:after="80"/>
        <w:jc w:val="left"/>
      </w:pPr>
      <w:r>
        <w:rPr>
          <w:rFonts w:ascii="Arial" w:hAnsi="Arial"/>
          <w:b/>
          <w:color w:val="184C78"/>
          <w:sz w:val="24"/>
        </w:rPr>
        <w:t>1.0 OBJETIVO DEL PROYECTO Y MARCO GENERAL</w:t>
      </w:r>
    </w:p>
    <w:p>
      <w:pPr>
        <w:spacing w:before="0" w:after="120" w:line="276" w:lineRule="auto"/>
        <w:ind w:firstLine="720"/>
        <w:jc w:val="both"/>
      </w:pPr>
      <w:r>
        <w:rPr>
          <w:rFonts w:ascii="Arial" w:hAnsi="Arial"/>
          <w:b w:val="0"/>
          <w:i w:val="0"/>
          <w:color w:val="000000"/>
          <w:sz w:val="22"/>
        </w:rPr>
        <w:t>El presente Proyecto de Instalaciones Eléctricas Interiores corresponde a la Edificación de una Vivienda Unifamiliar de tres niveles (Primer Piso, Segundo Piso y Azotea), de propiedad de CHARAJA MAMANI DIEGO JEFFERSON (Código 214254), desarrollado para la asignatura de Instalaciones Eléctricas dictada por el Ing. VILLANUEVA CORNEJO MARCOS JOSE en la Escuela Profesional de Ingeniería Mecánica Eléctrica de la Universidad Nacional del Altiplano. El objetivo principal es definir los criterios técnicos, dimensionales, normativos y constructivos para la correcta distribución de energía eléctrica, selección de conductores, tableros, protecciones termomagnéticas y diferenciales, garantizando la máxima seguridad de las personas, la preservación de la infraestructura contra sobrecargas y cortocircuitos, y la eficiencia energética conforme al Código Nacional de Electricidad - Utilización (CNE-U) y al Reglamento Nacional de Edificaciones (RNE EM.010).</w:t>
      </w:r>
    </w:p>
    <w:p>
      <w:pPr>
        <w:keepNext/>
        <w:spacing w:before="280" w:after="80"/>
        <w:jc w:val="left"/>
      </w:pPr>
      <w:r>
        <w:rPr>
          <w:rFonts w:ascii="Arial" w:hAnsi="Arial"/>
          <w:b/>
          <w:color w:val="184C78"/>
          <w:sz w:val="24"/>
        </w:rPr>
        <w:t>2.0 ALCANCES DEL PROYECTO DE INSTALACIONES ELÉCTRICAS EN BAJA TENSIÓN Y REDES AUXILIARES</w:t>
      </w:r>
    </w:p>
    <w:p>
      <w:pPr>
        <w:spacing w:before="0" w:after="120" w:line="276" w:lineRule="auto"/>
        <w:ind w:firstLine="720"/>
        <w:jc w:val="both"/>
      </w:pPr>
      <w:r>
        <w:rPr>
          <w:rFonts w:ascii="Arial" w:hAnsi="Arial"/>
          <w:b w:val="0"/>
          <w:i w:val="0"/>
          <w:color w:val="000000"/>
          <w:sz w:val="22"/>
        </w:rPr>
        <w:t>El proyecto comprende el diseño completo de las instalaciones eléctricas en Baja Tensión y redes complementarias:</w:t>
        <w:br/>
        <w:t>a) Instalaciones Eléctricas en Baja Tensión:</w:t>
        <w:br/>
        <w:t>• El diseño de la Acometida Eléctrica trifásica desde la red pública de distribución secundaria de la empresa concesionaria ELECTRO PUNO S.A.A. hasta la caja de protección y medición ubicada en el límite de propiedad.</w:t>
        <w:br/>
        <w:t>• El diseño del Alimentador General desde la caja de medición hasta el Tablero General de Distribución (TD) empotrado en el Hall del primer piso.</w:t>
        <w:br/>
        <w:t>• Red de 8 circuitos derivados (C-1 a C-8) para Alumbrado, Tomacorrientes Generales y Fuerza.</w:t>
        <w:br/>
        <w:t>• Alimentación de fuerza para cargas especiales: Cocina Eléctrica (6.0 kW), Terma Eléctrica (1.5 kW), Electrobomba de Agua (0.75 HP), Lavadora y Secadora de Ropa (2.5 kW) y Tomacorrientes especiales de cocina (1.5 kW).</w:t>
        <w:br/>
        <w:t>b) Redes de Comunicaciones y Servicios Auxiliares:</w:t>
        <w:br/>
        <w:t>• Redes de ductos, cajas de pase y cajas de salida para telefonía fija/móvil, cable TV e intercomunicador con abrepuerta eléctrico.</w:t>
      </w:r>
    </w:p>
    <w:p>
      <w:pPr>
        <w:keepNext/>
        <w:spacing w:before="280" w:after="80"/>
        <w:jc w:val="left"/>
      </w:pPr>
      <w:r>
        <w:rPr>
          <w:rFonts w:ascii="Arial" w:hAnsi="Arial"/>
          <w:b/>
          <w:color w:val="184C78"/>
          <w:sz w:val="24"/>
        </w:rPr>
        <w:t>3.0 DESCRIPCIÓN DEL PROYECTO Y DISTRIBUCIÓN ARQUITECTÓNICA DETALLADA</w:t>
      </w:r>
    </w:p>
    <w:p>
      <w:pPr>
        <w:spacing w:before="0" w:after="120" w:line="276" w:lineRule="auto"/>
        <w:ind w:firstLine="720"/>
        <w:jc w:val="both"/>
      </w:pPr>
      <w:r>
        <w:rPr>
          <w:rFonts w:ascii="Arial" w:hAnsi="Arial"/>
          <w:b w:val="0"/>
          <w:i w:val="0"/>
          <w:color w:val="000000"/>
          <w:sz w:val="22"/>
        </w:rPr>
        <w:t>La edificación presenta una arquitectura residencial unifamiliar construida sobre tres niveles, con la siguiente distribución espacial detallada extraída de los planos de diseño (Lámina IE-01, Escala 1:50):</w:t>
      </w:r>
    </w:p>
    <w:p>
      <w:pPr>
        <w:keepNext/>
        <w:spacing w:before="200" w:after="80"/>
        <w:jc w:val="left"/>
      </w:pPr>
      <w:r>
        <w:rPr>
          <w:rFonts w:ascii="Arial" w:hAnsi="Arial"/>
          <w:b/>
          <w:color w:val="000000"/>
          <w:sz w:val="22"/>
        </w:rPr>
        <w:t>3.1 Primer Piso (Área Social, Servicio, Patio, Cisterna y Electrobombas)</w:t>
      </w:r>
    </w:p>
    <w:p>
      <w:pPr>
        <w:spacing w:before="0" w:after="120" w:line="276" w:lineRule="auto"/>
        <w:ind w:firstLine="720"/>
        <w:jc w:val="both"/>
      </w:pPr>
      <w:r>
        <w:rPr>
          <w:rFonts w:ascii="Arial" w:hAnsi="Arial"/>
          <w:b w:val="0"/>
          <w:i w:val="0"/>
          <w:color w:val="000000"/>
          <w:sz w:val="22"/>
        </w:rPr>
        <w:t>Comprende la zona de ingreso principal, Sala-Comedor iluminada naturalmente, Estar familiar, Cocina equipada con salidas para tomacorrientes y alimentador trifásico C-3, Dormitorio de huéspedes, Hall de circulación principal donde se ubica empotrado el Tablero General (TD), Servicio Higiénico (S.H. 1), Patio posterior al aire libre y cuarto técnico de Cisterna con Electrobomba de Agua C-5 (0.75 HP).</w:t>
      </w:r>
    </w:p>
    <w:p>
      <w:pPr>
        <w:keepNext/>
        <w:spacing w:before="200" w:after="80"/>
        <w:jc w:val="left"/>
      </w:pPr>
      <w:r>
        <w:rPr>
          <w:rFonts w:ascii="Arial" w:hAnsi="Arial"/>
          <w:b/>
          <w:color w:val="000000"/>
          <w:sz w:val="22"/>
        </w:rPr>
        <w:t>3.2 Segundo Piso (Área Íntima, Dormitorios, Baños Privados y Comunes)</w:t>
      </w:r>
    </w:p>
    <w:p>
      <w:pPr>
        <w:spacing w:before="0" w:after="120" w:line="276" w:lineRule="auto"/>
        <w:ind w:firstLine="720"/>
        <w:jc w:val="both"/>
      </w:pPr>
      <w:r>
        <w:rPr>
          <w:rFonts w:ascii="Arial" w:hAnsi="Arial"/>
          <w:b w:val="0"/>
          <w:i w:val="0"/>
          <w:color w:val="000000"/>
          <w:sz w:val="22"/>
        </w:rPr>
        <w:t>Comprende Dormitorio Principal con S.H. privado incorporado, tres Dormitorios secundarios ampliamente ventilados, Hall de distribución privada, Servicio Higiénico común completo y alimentación de Terma Eléctrica C-4 (1.5 kW).</w:t>
      </w:r>
    </w:p>
    <w:p>
      <w:pPr>
        <w:keepNext/>
        <w:spacing w:before="200" w:after="80"/>
        <w:jc w:val="left"/>
      </w:pPr>
      <w:r>
        <w:rPr>
          <w:rFonts w:ascii="Arial" w:hAnsi="Arial"/>
          <w:b/>
          <w:color w:val="000000"/>
          <w:sz w:val="22"/>
        </w:rPr>
        <w:t>3.3 Azotea (Área de Lavandería, Tendedero, Depósito y Servicios)</w:t>
      </w:r>
    </w:p>
    <w:p>
      <w:pPr>
        <w:spacing w:before="0" w:after="120" w:line="276" w:lineRule="auto"/>
        <w:ind w:firstLine="720"/>
        <w:jc w:val="both"/>
      </w:pPr>
      <w:r>
        <w:rPr>
          <w:rFonts w:ascii="Arial" w:hAnsi="Arial"/>
          <w:b w:val="0"/>
          <w:i w:val="0"/>
          <w:color w:val="000000"/>
          <w:sz w:val="22"/>
        </w:rPr>
        <w:t>Comprende Lavandería independizada con tomacorrientes reforzados C-7 para Lavadora y Secadora (2.5 kW), Tendedero al aire libre, Depósito de enseres y Servicio Higiénico de servicio.</w:t>
      </w:r>
    </w:p>
    <w:p>
      <w:pPr>
        <w:keepNext/>
        <w:spacing w:before="200" w:after="80"/>
        <w:jc w:val="left"/>
      </w:pPr>
      <w:r>
        <w:rPr>
          <w:rFonts w:ascii="Arial" w:hAnsi="Arial"/>
          <w:b/>
          <w:color w:val="000000"/>
          <w:sz w:val="22"/>
        </w:rPr>
        <w:t>3.4 Cuadro Detallado de Áreas Construidas y Ambientes Proyectados</w:t>
      </w:r>
    </w:p>
    <w:tbl>
      <w:tblPr>
        <w:tblW w:type="auto" w:w="0"/>
        <w:jc w:val="center"/>
        <w:tblLook w:firstColumn="1" w:firstRow="1" w:lastColumn="0" w:lastRow="0" w:noHBand="0" w:noVBand="1" w:val="04A0"/>
      </w:tblPr>
      <w:tblGrid>
        <w:gridCol w:w="3139"/>
        <w:gridCol w:w="3139"/>
        <w:gridCol w:w="3139"/>
      </w:tblGrid>
      <w:tr>
        <w:tc>
          <w:tcPr>
            <w:tcW w:type="dxa" w:w="3139"/>
            <w:shd w:fill="0F2043"/>
            <w:tcMar>
              <w:top w:w="80" w:type="dxa"/>
              <w:bottom w:w="80" w:type="dxa"/>
              <w:left w:w="80" w:type="dxa"/>
              <w:right w:w="80" w:type="dxa"/>
            </w:tcMar>
          </w:tcPr>
          <w:p>
            <w:pPr>
              <w:jc w:val="center"/>
            </w:pPr>
            <w:r>
              <w:rPr>
                <w:rFonts w:ascii="Arial" w:hAnsi="Arial"/>
                <w:b/>
                <w:color w:val="FFFFFF"/>
                <w:sz w:val="18"/>
              </w:rPr>
              <w:t>Nivel</w:t>
            </w:r>
          </w:p>
        </w:tc>
        <w:tc>
          <w:tcPr>
            <w:tcW w:type="dxa" w:w="3139"/>
            <w:shd w:fill="0F2043"/>
            <w:tcMar>
              <w:top w:w="80" w:type="dxa"/>
              <w:bottom w:w="80" w:type="dxa"/>
              <w:left w:w="80" w:type="dxa"/>
              <w:right w:w="80" w:type="dxa"/>
            </w:tcMar>
          </w:tcPr>
          <w:p>
            <w:pPr>
              <w:jc w:val="center"/>
            </w:pPr>
            <w:r>
              <w:rPr>
                <w:rFonts w:ascii="Arial" w:hAnsi="Arial"/>
                <w:b/>
                <w:color w:val="FFFFFF"/>
                <w:sz w:val="18"/>
              </w:rPr>
              <w:t>Ambientes Incluidos</w:t>
            </w:r>
          </w:p>
        </w:tc>
        <w:tc>
          <w:tcPr>
            <w:tcW w:type="dxa" w:w="3139"/>
            <w:shd w:fill="0F2043"/>
            <w:tcMar>
              <w:top w:w="80" w:type="dxa"/>
              <w:bottom w:w="80" w:type="dxa"/>
              <w:left w:w="80" w:type="dxa"/>
              <w:right w:w="80" w:type="dxa"/>
            </w:tcMar>
          </w:tcPr>
          <w:p>
            <w:pPr>
              <w:jc w:val="center"/>
            </w:pPr>
            <w:r>
              <w:rPr>
                <w:rFonts w:ascii="Arial" w:hAnsi="Arial"/>
                <w:b/>
                <w:color w:val="FFFFFF"/>
                <w:sz w:val="18"/>
              </w:rPr>
              <w:t>Área Techada (m²)</w:t>
            </w:r>
          </w:p>
        </w:tc>
      </w:tr>
      <w:tr>
        <w:tc>
          <w:tcPr>
            <w:tcW w:type="dxa" w:w="3139"/>
            <w:shd w:fill="F0F4F8"/>
            <w:tcMar>
              <w:top w:w="50" w:type="dxa"/>
              <w:bottom w:w="50" w:type="dxa"/>
              <w:left w:w="60" w:type="dxa"/>
              <w:right w:w="60" w:type="dxa"/>
            </w:tcMar>
          </w:tcPr>
          <w:p>
            <w:pPr>
              <w:jc w:val="center"/>
            </w:pPr>
            <w:r>
              <w:rPr>
                <w:rFonts w:ascii="Arial" w:hAnsi="Arial"/>
                <w:b/>
                <w:sz w:val="17"/>
              </w:rPr>
              <w:t>Primer Piso</w:t>
            </w:r>
          </w:p>
        </w:tc>
        <w:tc>
          <w:tcPr>
            <w:tcW w:type="dxa" w:w="3139"/>
            <w:shd w:fill="F0F4F8"/>
            <w:tcMar>
              <w:top w:w="50" w:type="dxa"/>
              <w:bottom w:w="50" w:type="dxa"/>
              <w:left w:w="60" w:type="dxa"/>
              <w:right w:w="60" w:type="dxa"/>
            </w:tcMar>
          </w:tcPr>
          <w:p>
            <w:pPr>
              <w:jc w:val="left"/>
            </w:pPr>
            <w:r>
              <w:rPr>
                <w:rFonts w:ascii="Arial" w:hAnsi="Arial"/>
                <w:sz w:val="17"/>
              </w:rPr>
              <w:t>Sala-Comedor, Estar, Cocina, Dormitorio 1, Hall (TD), S.H. 1, Cisterna/Bomba, Patio</w:t>
            </w:r>
          </w:p>
        </w:tc>
        <w:tc>
          <w:tcPr>
            <w:tcW w:type="dxa" w:w="3139"/>
            <w:shd w:fill="F0F4F8"/>
            <w:tcMar>
              <w:top w:w="50" w:type="dxa"/>
              <w:bottom w:w="50" w:type="dxa"/>
              <w:left w:w="60" w:type="dxa"/>
              <w:right w:w="60" w:type="dxa"/>
            </w:tcMar>
          </w:tcPr>
          <w:p>
            <w:pPr>
              <w:jc w:val="center"/>
            </w:pPr>
            <w:r>
              <w:rPr>
                <w:rFonts w:ascii="Arial" w:hAnsi="Arial"/>
                <w:b/>
                <w:sz w:val="17"/>
              </w:rPr>
              <w:t>90.00 m²</w:t>
            </w:r>
          </w:p>
        </w:tc>
      </w:tr>
      <w:tr>
        <w:tc>
          <w:tcPr>
            <w:tcW w:type="dxa" w:w="3139"/>
            <w:shd w:fill="FFFFFF"/>
            <w:tcMar>
              <w:top w:w="50" w:type="dxa"/>
              <w:bottom w:w="50" w:type="dxa"/>
              <w:left w:w="60" w:type="dxa"/>
              <w:right w:w="60" w:type="dxa"/>
            </w:tcMar>
          </w:tcPr>
          <w:p>
            <w:pPr>
              <w:jc w:val="center"/>
            </w:pPr>
            <w:r>
              <w:rPr>
                <w:rFonts w:ascii="Arial" w:hAnsi="Arial"/>
                <w:b/>
                <w:sz w:val="17"/>
              </w:rPr>
              <w:t>Segundo Piso</w:t>
            </w:r>
          </w:p>
        </w:tc>
        <w:tc>
          <w:tcPr>
            <w:tcW w:type="dxa" w:w="3139"/>
            <w:shd w:fill="FFFFFF"/>
            <w:tcMar>
              <w:top w:w="50" w:type="dxa"/>
              <w:bottom w:w="50" w:type="dxa"/>
              <w:left w:w="60" w:type="dxa"/>
              <w:right w:w="60" w:type="dxa"/>
            </w:tcMar>
          </w:tcPr>
          <w:p>
            <w:pPr>
              <w:jc w:val="left"/>
            </w:pPr>
            <w:r>
              <w:rPr>
                <w:rFonts w:ascii="Arial" w:hAnsi="Arial"/>
                <w:sz w:val="17"/>
              </w:rPr>
              <w:t>Dormitorio Principal + S.H., Dormitorios 2, 3, 4, S.H. Común, Hall 2do Piso</w:t>
            </w:r>
          </w:p>
        </w:tc>
        <w:tc>
          <w:tcPr>
            <w:tcW w:type="dxa" w:w="3139"/>
            <w:shd w:fill="FFFFFF"/>
            <w:tcMar>
              <w:top w:w="50" w:type="dxa"/>
              <w:bottom w:w="50" w:type="dxa"/>
              <w:left w:w="60" w:type="dxa"/>
              <w:right w:w="60" w:type="dxa"/>
            </w:tcMar>
          </w:tcPr>
          <w:p>
            <w:pPr>
              <w:jc w:val="center"/>
            </w:pPr>
            <w:r>
              <w:rPr>
                <w:rFonts w:ascii="Arial" w:hAnsi="Arial"/>
                <w:b/>
                <w:sz w:val="17"/>
              </w:rPr>
              <w:t>85.00 m²</w:t>
            </w:r>
          </w:p>
        </w:tc>
      </w:tr>
      <w:tr>
        <w:tc>
          <w:tcPr>
            <w:tcW w:type="dxa" w:w="3139"/>
            <w:shd w:fill="F0F4F8"/>
            <w:tcMar>
              <w:top w:w="50" w:type="dxa"/>
              <w:bottom w:w="50" w:type="dxa"/>
              <w:left w:w="60" w:type="dxa"/>
              <w:right w:w="60" w:type="dxa"/>
            </w:tcMar>
          </w:tcPr>
          <w:p>
            <w:pPr>
              <w:jc w:val="center"/>
            </w:pPr>
            <w:r>
              <w:rPr>
                <w:rFonts w:ascii="Arial" w:hAnsi="Arial"/>
                <w:b/>
                <w:sz w:val="17"/>
              </w:rPr>
              <w:t>Azotea</w:t>
            </w:r>
          </w:p>
        </w:tc>
        <w:tc>
          <w:tcPr>
            <w:tcW w:type="dxa" w:w="3139"/>
            <w:shd w:fill="F0F4F8"/>
            <w:tcMar>
              <w:top w:w="50" w:type="dxa"/>
              <w:bottom w:w="50" w:type="dxa"/>
              <w:left w:w="60" w:type="dxa"/>
              <w:right w:w="60" w:type="dxa"/>
            </w:tcMar>
          </w:tcPr>
          <w:p>
            <w:pPr>
              <w:jc w:val="left"/>
            </w:pPr>
            <w:r>
              <w:rPr>
                <w:rFonts w:ascii="Arial" w:hAnsi="Arial"/>
                <w:sz w:val="17"/>
              </w:rPr>
              <w:t>Lavandería, Depósito, Tendedero al aire libre, S.H. Azotea</w:t>
            </w:r>
          </w:p>
        </w:tc>
        <w:tc>
          <w:tcPr>
            <w:tcW w:type="dxa" w:w="3139"/>
            <w:shd w:fill="F0F4F8"/>
            <w:tcMar>
              <w:top w:w="50" w:type="dxa"/>
              <w:bottom w:w="50" w:type="dxa"/>
              <w:left w:w="60" w:type="dxa"/>
              <w:right w:w="60" w:type="dxa"/>
            </w:tcMar>
          </w:tcPr>
          <w:p>
            <w:pPr>
              <w:jc w:val="center"/>
            </w:pPr>
            <w:r>
              <w:rPr>
                <w:rFonts w:ascii="Arial" w:hAnsi="Arial"/>
                <w:b/>
                <w:sz w:val="17"/>
              </w:rPr>
              <w:t>45.00 m²</w:t>
            </w:r>
          </w:p>
        </w:tc>
      </w:tr>
      <w:tr>
        <w:tc>
          <w:tcPr>
            <w:tcW w:type="dxa" w:w="3139"/>
            <w:shd w:fill="D9E2EC"/>
            <w:tcMar>
              <w:top w:w="50" w:type="dxa"/>
              <w:bottom w:w="50" w:type="dxa"/>
              <w:left w:w="60" w:type="dxa"/>
              <w:right w:w="60" w:type="dxa"/>
            </w:tcMar>
          </w:tcPr>
          <w:p>
            <w:pPr>
              <w:jc w:val="center"/>
            </w:pPr>
            <w:r>
              <w:rPr>
                <w:rFonts w:ascii="Arial" w:hAnsi="Arial"/>
                <w:b/>
                <w:sz w:val="17"/>
              </w:rPr>
              <w:t>ÁREA TOTAL</w:t>
            </w:r>
          </w:p>
        </w:tc>
        <w:tc>
          <w:tcPr>
            <w:tcW w:type="dxa" w:w="3139"/>
            <w:shd w:fill="D9E2EC"/>
            <w:tcMar>
              <w:top w:w="50" w:type="dxa"/>
              <w:bottom w:w="50" w:type="dxa"/>
              <w:left w:w="60" w:type="dxa"/>
              <w:right w:w="60" w:type="dxa"/>
            </w:tcMar>
          </w:tcPr>
          <w:p>
            <w:pPr>
              <w:jc w:val="left"/>
            </w:pPr>
            <w:r>
              <w:rPr>
                <w:rFonts w:ascii="Arial" w:hAnsi="Arial"/>
                <w:b/>
                <w:sz w:val="17"/>
              </w:rPr>
              <w:t>SUPERFICIE CONSTRUIDA ACUMULADA TOTAL DE LA VIVIENDA UNIFAMILIAR</w:t>
            </w:r>
          </w:p>
        </w:tc>
        <w:tc>
          <w:tcPr>
            <w:tcW w:type="dxa" w:w="3139"/>
            <w:shd w:fill="D9E2EC"/>
            <w:tcMar>
              <w:top w:w="50" w:type="dxa"/>
              <w:bottom w:w="50" w:type="dxa"/>
              <w:left w:w="60" w:type="dxa"/>
              <w:right w:w="60" w:type="dxa"/>
            </w:tcMar>
          </w:tcPr>
          <w:p>
            <w:pPr>
              <w:jc w:val="center"/>
            </w:pPr>
            <w:r>
              <w:rPr>
                <w:rFonts w:ascii="Arial" w:hAnsi="Arial"/>
                <w:b/>
                <w:sz w:val="17"/>
              </w:rPr>
              <w:t>220.00 m²</w:t>
            </w:r>
          </w:p>
        </w:tc>
      </w:tr>
    </w:tbl>
    <w:p>
      <w:pPr>
        <w:spacing w:before="0" w:after="120" w:line="276" w:lineRule="auto"/>
        <w:ind w:firstLine="720"/>
        <w:jc w:val="both"/>
      </w:pPr>
    </w:p>
    <w:p>
      <w:pPr>
        <w:keepNext/>
        <w:spacing w:before="280" w:after="80"/>
        <w:jc w:val="left"/>
      </w:pPr>
      <w:r>
        <w:rPr>
          <w:rFonts w:ascii="Arial" w:hAnsi="Arial"/>
          <w:b/>
          <w:color w:val="184C78"/>
          <w:sz w:val="24"/>
        </w:rPr>
        <w:t>4.0 CARACTERÍSTICAS DEL SISTEMA ELÉCTRICO Y SUMINISTRO</w:t>
      </w:r>
    </w:p>
    <w:p>
      <w:pPr>
        <w:spacing w:before="0" w:after="120" w:line="276" w:lineRule="auto"/>
        <w:ind w:firstLine="720"/>
        <w:jc w:val="both"/>
      </w:pPr>
      <w:r>
        <w:rPr>
          <w:rFonts w:ascii="Arial" w:hAnsi="Arial"/>
          <w:b w:val="0"/>
          <w:i w:val="0"/>
          <w:color w:val="000000"/>
          <w:sz w:val="22"/>
        </w:rPr>
        <w:t>• Concesionaria de Suministro : ELECTRO PUNO S.A.A. (220 V, 3Ø, 60 Hz)</w:t>
        <w:br/>
        <w:t>• Potencia Instalada Total (PI) : 18,250.00 Watts (18.25 kW)</w:t>
        <w:br/>
        <w:t>• Máxima Demanda Total (MD) : 13,500.00 Watts (13.50 kW)</w:t>
        <w:br/>
        <w:t>• Factor de Potencia de Diseño (cos φ) : 0.90</w:t>
        <w:br/>
        <w:t>• Corriente Nominal de Diseño (In) : 39.36 A | Corriente Corregida (Id) : 49.20 A</w:t>
        <w:br/>
        <w:t>• Conductor Alimentador : 3-1x10 mm² NH-80 en tub. PVC-P 25 mmØ (1"Ø)</w:t>
        <w:br/>
        <w:t>• Interruptor General del TD : Termomagnético Tripolar 3 x 40 A (Icu ≥ 10 kA)</w:t>
        <w:br/>
        <w:t>• Capacidad del Tablero Proyectado : 36 Polos trifásico empotrado (con 20% de reserva libre)</w:t>
      </w:r>
    </w:p>
    <w:p>
      <w:pPr>
        <w:keepNext/>
        <w:spacing w:before="280" w:after="80"/>
        <w:jc w:val="left"/>
      </w:pPr>
      <w:r>
        <w:rPr>
          <w:rFonts w:ascii="Arial" w:hAnsi="Arial"/>
          <w:b/>
          <w:color w:val="184C78"/>
          <w:sz w:val="24"/>
        </w:rPr>
        <w:t>5.0 BASES DE CÁLCULO Y NORMATIVA DE CARGA</w:t>
      </w:r>
    </w:p>
    <w:p>
      <w:pPr>
        <w:spacing w:before="0" w:after="120" w:line="276" w:lineRule="auto"/>
        <w:ind w:firstLine="720"/>
        <w:jc w:val="both"/>
      </w:pPr>
      <w:r>
        <w:rPr>
          <w:rFonts w:ascii="Arial" w:hAnsi="Arial"/>
          <w:b w:val="0"/>
          <w:i w:val="0"/>
          <w:color w:val="000000"/>
          <w:sz w:val="22"/>
        </w:rPr>
        <w:t>La determinación de la Máxima Demanda se basa estrictamente en las reglas de carga del Código Nacional de Electricidad - Utilización (Tabla 14 y Tabla 22):</w:t>
        <w:br/>
        <w:t>• C-1 (Alumbrado y Tomacorrientes Generales 90 m²): Se asignan 2,500 W con Factor de Simultaneidad FS = 1.00 -&gt; MD = 2,500 W.</w:t>
        <w:br/>
        <w:t>• C-2 (Área Adicional): Se estiman 2,000 W con Factor de Simultaneidad FS = 0.35 -&gt; MD = 700 W.</w:t>
        <w:br/>
        <w:t>• C-3 (Cocina Eléctrica 6.0 kW): Según CNE-U Tabla 22, para 6 kW se aplica FS = 0.80 -&gt; MD = 4,800 W.</w:t>
        <w:br/>
        <w:t>• C-4 (Terma Eléctrica 1.5 kW): Carga continua con FS = 1.00 -&gt; MD = 1,500 W.</w:t>
        <w:br/>
        <w:t>• C-5 (Electrobomba de Agua 0.75 HP): Carga inductiva con FS = 1.00 -&gt; MD = 750 W.</w:t>
        <w:br/>
        <w:t>• C-6 (Tomacorrientes de Cocina Cargas Menores): 1,500 W con FS = 0.50 -&gt; MD = 750 W.</w:t>
        <w:br/>
        <w:t>• C-7 (Lavadora y Secadora Azotea): 2,500 W con FS = 0.70 -&gt; MD = 1,750 W.</w:t>
        <w:br/>
        <w:t>• C-8 (Reserva / Ampliación Futura): 1,500 W proyectados con FS = 0.50 -&gt; MD = 750 W.</w:t>
      </w:r>
    </w:p>
    <w:p>
      <w:pPr>
        <w:keepNext/>
        <w:spacing w:before="280" w:after="80"/>
        <w:jc w:val="left"/>
      </w:pPr>
      <w:r>
        <w:rPr>
          <w:rFonts w:ascii="Arial" w:hAnsi="Arial"/>
          <w:b/>
          <w:color w:val="184C78"/>
          <w:sz w:val="24"/>
        </w:rPr>
        <w:t>6.0 CUADRO OFICIAL DE CARGAS Y MÁXIMA DEMANDA</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shd w:fill="0F2043"/>
            <w:tcMar>
              <w:top w:w="80" w:type="dxa"/>
              <w:bottom w:w="80" w:type="dxa"/>
              <w:left w:w="100" w:type="dxa"/>
              <w:right w:w="100" w:type="dxa"/>
            </w:tcMar>
          </w:tcPr>
          <w:p>
            <w:pPr>
              <w:jc w:val="center"/>
            </w:pPr>
            <w:r>
              <w:rPr>
                <w:rFonts w:ascii="Arial" w:hAnsi="Arial"/>
                <w:b/>
                <w:color w:val="FFFFFF"/>
                <w:sz w:val="19"/>
              </w:rPr>
              <w:t>Circuito</w:t>
            </w:r>
          </w:p>
        </w:tc>
        <w:tc>
          <w:tcPr>
            <w:tcW w:type="dxa" w:w="1884"/>
            <w:shd w:fill="0F2043"/>
            <w:tcMar>
              <w:top w:w="80" w:type="dxa"/>
              <w:bottom w:w="80" w:type="dxa"/>
              <w:left w:w="100" w:type="dxa"/>
              <w:right w:w="100" w:type="dxa"/>
            </w:tcMar>
          </w:tcPr>
          <w:p>
            <w:pPr>
              <w:jc w:val="center"/>
            </w:pPr>
            <w:r>
              <w:rPr>
                <w:rFonts w:ascii="Arial" w:hAnsi="Arial"/>
                <w:b/>
                <w:color w:val="FFFFFF"/>
                <w:sz w:val="19"/>
              </w:rPr>
              <w:t>Descripción de la Carga / Ubicación</w:t>
            </w:r>
          </w:p>
        </w:tc>
        <w:tc>
          <w:tcPr>
            <w:tcW w:type="dxa" w:w="1884"/>
            <w:shd w:fill="0F2043"/>
            <w:tcMar>
              <w:top w:w="80" w:type="dxa"/>
              <w:bottom w:w="80" w:type="dxa"/>
              <w:left w:w="100" w:type="dxa"/>
              <w:right w:w="100" w:type="dxa"/>
            </w:tcMar>
          </w:tcPr>
          <w:p>
            <w:pPr>
              <w:jc w:val="center"/>
            </w:pPr>
            <w:r>
              <w:rPr>
                <w:rFonts w:ascii="Arial" w:hAnsi="Arial"/>
                <w:b/>
                <w:color w:val="FFFFFF"/>
                <w:sz w:val="19"/>
              </w:rPr>
              <w:t>PI (W)</w:t>
            </w:r>
          </w:p>
        </w:tc>
        <w:tc>
          <w:tcPr>
            <w:tcW w:type="dxa" w:w="1884"/>
            <w:shd w:fill="0F2043"/>
            <w:tcMar>
              <w:top w:w="80" w:type="dxa"/>
              <w:bottom w:w="80" w:type="dxa"/>
              <w:left w:w="100" w:type="dxa"/>
              <w:right w:w="100" w:type="dxa"/>
            </w:tcMar>
          </w:tcPr>
          <w:p>
            <w:pPr>
              <w:jc w:val="center"/>
            </w:pPr>
            <w:r>
              <w:rPr>
                <w:rFonts w:ascii="Arial" w:hAnsi="Arial"/>
                <w:b/>
                <w:color w:val="FFFFFF"/>
                <w:sz w:val="19"/>
              </w:rPr>
              <w:t>FS</w:t>
            </w:r>
          </w:p>
        </w:tc>
        <w:tc>
          <w:tcPr>
            <w:tcW w:type="dxa" w:w="1884"/>
            <w:shd w:fill="0F2043"/>
            <w:tcMar>
              <w:top w:w="80" w:type="dxa"/>
              <w:bottom w:w="80" w:type="dxa"/>
              <w:left w:w="100" w:type="dxa"/>
              <w:right w:w="100" w:type="dxa"/>
            </w:tcMar>
          </w:tcPr>
          <w:p>
            <w:pPr>
              <w:jc w:val="center"/>
            </w:pPr>
            <w:r>
              <w:rPr>
                <w:rFonts w:ascii="Arial" w:hAnsi="Arial"/>
                <w:b/>
                <w:color w:val="FFFFFF"/>
                <w:sz w:val="19"/>
              </w:rPr>
              <w:t>MD (W)</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C-1</w:t>
            </w:r>
          </w:p>
        </w:tc>
        <w:tc>
          <w:tcPr>
            <w:tcW w:type="dxa" w:w="1884"/>
            <w:shd w:fill="F0F4F8"/>
            <w:tcMar>
              <w:top w:w="60" w:type="dxa"/>
              <w:bottom w:w="60" w:type="dxa"/>
              <w:left w:w="100" w:type="dxa"/>
              <w:right w:w="100" w:type="dxa"/>
            </w:tcMar>
          </w:tcPr>
          <w:p>
            <w:pPr>
              <w:spacing w:after="40"/>
              <w:jc w:val="left"/>
            </w:pPr>
            <w:r>
              <w:rPr>
                <w:rFonts w:ascii="Arial" w:hAnsi="Arial"/>
                <w:sz w:val="18"/>
              </w:rPr>
              <w:t>Alumbrado y Tomacorrientes Generales (Primeros 90 m²)</w:t>
            </w:r>
          </w:p>
        </w:tc>
        <w:tc>
          <w:tcPr>
            <w:tcW w:type="dxa" w:w="1884"/>
            <w:shd w:fill="F0F4F8"/>
            <w:tcMar>
              <w:top w:w="60" w:type="dxa"/>
              <w:bottom w:w="60" w:type="dxa"/>
              <w:left w:w="100" w:type="dxa"/>
              <w:right w:w="100" w:type="dxa"/>
            </w:tcMar>
          </w:tcPr>
          <w:p>
            <w:pPr>
              <w:spacing w:after="40"/>
              <w:jc w:val="center"/>
            </w:pPr>
            <w:r>
              <w:rPr>
                <w:rFonts w:ascii="Arial" w:hAnsi="Arial"/>
                <w:sz w:val="18"/>
              </w:rPr>
              <w:t>2,500</w:t>
            </w:r>
          </w:p>
        </w:tc>
        <w:tc>
          <w:tcPr>
            <w:tcW w:type="dxa" w:w="1884"/>
            <w:shd w:fill="F0F4F8"/>
            <w:tcMar>
              <w:top w:w="60" w:type="dxa"/>
              <w:bottom w:w="60" w:type="dxa"/>
              <w:left w:w="100" w:type="dxa"/>
              <w:right w:w="100" w:type="dxa"/>
            </w:tcMar>
          </w:tcPr>
          <w:p>
            <w:pPr>
              <w:spacing w:after="40"/>
              <w:jc w:val="center"/>
            </w:pPr>
            <w:r>
              <w:rPr>
                <w:rFonts w:ascii="Arial" w:hAnsi="Arial"/>
                <w:sz w:val="18"/>
              </w:rPr>
              <w:t>1.00</w:t>
            </w:r>
          </w:p>
        </w:tc>
        <w:tc>
          <w:tcPr>
            <w:tcW w:type="dxa" w:w="1884"/>
            <w:shd w:fill="F0F4F8"/>
            <w:tcMar>
              <w:top w:w="60" w:type="dxa"/>
              <w:bottom w:w="60" w:type="dxa"/>
              <w:left w:w="100" w:type="dxa"/>
              <w:right w:w="100" w:type="dxa"/>
            </w:tcMar>
          </w:tcPr>
          <w:p>
            <w:pPr>
              <w:spacing w:after="40"/>
              <w:jc w:val="center"/>
            </w:pPr>
            <w:r>
              <w:rPr>
                <w:rFonts w:ascii="Arial" w:hAnsi="Arial"/>
                <w:b/>
                <w:sz w:val="18"/>
              </w:rPr>
              <w:t>2,500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C-2</w:t>
            </w:r>
          </w:p>
        </w:tc>
        <w:tc>
          <w:tcPr>
            <w:tcW w:type="dxa" w:w="1884"/>
            <w:shd w:fill="FFFFFF"/>
            <w:tcMar>
              <w:top w:w="60" w:type="dxa"/>
              <w:bottom w:w="60" w:type="dxa"/>
              <w:left w:w="100" w:type="dxa"/>
              <w:right w:w="100" w:type="dxa"/>
            </w:tcMar>
          </w:tcPr>
          <w:p>
            <w:pPr>
              <w:spacing w:after="40"/>
              <w:jc w:val="left"/>
            </w:pPr>
            <w:r>
              <w:rPr>
                <w:rFonts w:ascii="Arial" w:hAnsi="Arial"/>
                <w:sz w:val="18"/>
              </w:rPr>
              <w:t>Alumbrado y Tomacorrientes Generales (Área Adicional)</w:t>
            </w:r>
          </w:p>
        </w:tc>
        <w:tc>
          <w:tcPr>
            <w:tcW w:type="dxa" w:w="1884"/>
            <w:shd w:fill="FFFFFF"/>
            <w:tcMar>
              <w:top w:w="60" w:type="dxa"/>
              <w:bottom w:w="60" w:type="dxa"/>
              <w:left w:w="100" w:type="dxa"/>
              <w:right w:w="100" w:type="dxa"/>
            </w:tcMar>
          </w:tcPr>
          <w:p>
            <w:pPr>
              <w:spacing w:after="40"/>
              <w:jc w:val="center"/>
            </w:pPr>
            <w:r>
              <w:rPr>
                <w:rFonts w:ascii="Arial" w:hAnsi="Arial"/>
                <w:sz w:val="18"/>
              </w:rPr>
              <w:t>2,000</w:t>
            </w:r>
          </w:p>
        </w:tc>
        <w:tc>
          <w:tcPr>
            <w:tcW w:type="dxa" w:w="1884"/>
            <w:shd w:fill="FFFFFF"/>
            <w:tcMar>
              <w:top w:w="60" w:type="dxa"/>
              <w:bottom w:w="60" w:type="dxa"/>
              <w:left w:w="100" w:type="dxa"/>
              <w:right w:w="100" w:type="dxa"/>
            </w:tcMar>
          </w:tcPr>
          <w:p>
            <w:pPr>
              <w:spacing w:after="40"/>
              <w:jc w:val="center"/>
            </w:pPr>
            <w:r>
              <w:rPr>
                <w:rFonts w:ascii="Arial" w:hAnsi="Arial"/>
                <w:sz w:val="18"/>
              </w:rPr>
              <w:t>0.35</w:t>
            </w:r>
          </w:p>
        </w:tc>
        <w:tc>
          <w:tcPr>
            <w:tcW w:type="dxa" w:w="1884"/>
            <w:shd w:fill="FFFFFF"/>
            <w:tcMar>
              <w:top w:w="60" w:type="dxa"/>
              <w:bottom w:w="60" w:type="dxa"/>
              <w:left w:w="100" w:type="dxa"/>
              <w:right w:w="100" w:type="dxa"/>
            </w:tcMar>
          </w:tcPr>
          <w:p>
            <w:pPr>
              <w:spacing w:after="40"/>
              <w:jc w:val="center"/>
            </w:pPr>
            <w:r>
              <w:rPr>
                <w:rFonts w:ascii="Arial" w:hAnsi="Arial"/>
                <w:b/>
                <w:sz w:val="18"/>
              </w:rPr>
              <w:t>700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C-3</w:t>
            </w:r>
          </w:p>
        </w:tc>
        <w:tc>
          <w:tcPr>
            <w:tcW w:type="dxa" w:w="1884"/>
            <w:shd w:fill="F0F4F8"/>
            <w:tcMar>
              <w:top w:w="60" w:type="dxa"/>
              <w:bottom w:w="60" w:type="dxa"/>
              <w:left w:w="100" w:type="dxa"/>
              <w:right w:w="100" w:type="dxa"/>
            </w:tcMar>
          </w:tcPr>
          <w:p>
            <w:pPr>
              <w:spacing w:after="40"/>
              <w:jc w:val="left"/>
            </w:pPr>
            <w:r>
              <w:rPr>
                <w:rFonts w:ascii="Arial" w:hAnsi="Arial"/>
                <w:sz w:val="18"/>
              </w:rPr>
              <w:t>Cocina Eléctrica (Primer Piso 3Ø)</w:t>
            </w:r>
          </w:p>
        </w:tc>
        <w:tc>
          <w:tcPr>
            <w:tcW w:type="dxa" w:w="1884"/>
            <w:shd w:fill="F0F4F8"/>
            <w:tcMar>
              <w:top w:w="60" w:type="dxa"/>
              <w:bottom w:w="60" w:type="dxa"/>
              <w:left w:w="100" w:type="dxa"/>
              <w:right w:w="100" w:type="dxa"/>
            </w:tcMar>
          </w:tcPr>
          <w:p>
            <w:pPr>
              <w:spacing w:after="40"/>
              <w:jc w:val="center"/>
            </w:pPr>
            <w:r>
              <w:rPr>
                <w:rFonts w:ascii="Arial" w:hAnsi="Arial"/>
                <w:sz w:val="18"/>
              </w:rPr>
              <w:t>6,000</w:t>
            </w:r>
          </w:p>
        </w:tc>
        <w:tc>
          <w:tcPr>
            <w:tcW w:type="dxa" w:w="1884"/>
            <w:shd w:fill="F0F4F8"/>
            <w:tcMar>
              <w:top w:w="60" w:type="dxa"/>
              <w:bottom w:w="60" w:type="dxa"/>
              <w:left w:w="100" w:type="dxa"/>
              <w:right w:w="100" w:type="dxa"/>
            </w:tcMar>
          </w:tcPr>
          <w:p>
            <w:pPr>
              <w:spacing w:after="40"/>
              <w:jc w:val="center"/>
            </w:pPr>
            <w:r>
              <w:rPr>
                <w:rFonts w:ascii="Arial" w:hAnsi="Arial"/>
                <w:sz w:val="18"/>
              </w:rPr>
              <w:t>0.80</w:t>
            </w:r>
          </w:p>
        </w:tc>
        <w:tc>
          <w:tcPr>
            <w:tcW w:type="dxa" w:w="1884"/>
            <w:shd w:fill="F0F4F8"/>
            <w:tcMar>
              <w:top w:w="60" w:type="dxa"/>
              <w:bottom w:w="60" w:type="dxa"/>
              <w:left w:w="100" w:type="dxa"/>
              <w:right w:w="100" w:type="dxa"/>
            </w:tcMar>
          </w:tcPr>
          <w:p>
            <w:pPr>
              <w:spacing w:after="40"/>
              <w:jc w:val="center"/>
            </w:pPr>
            <w:r>
              <w:rPr>
                <w:rFonts w:ascii="Arial" w:hAnsi="Arial"/>
                <w:b/>
                <w:sz w:val="18"/>
              </w:rPr>
              <w:t>4,800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C-4</w:t>
            </w:r>
          </w:p>
        </w:tc>
        <w:tc>
          <w:tcPr>
            <w:tcW w:type="dxa" w:w="1884"/>
            <w:shd w:fill="FFFFFF"/>
            <w:tcMar>
              <w:top w:w="60" w:type="dxa"/>
              <w:bottom w:w="60" w:type="dxa"/>
              <w:left w:w="100" w:type="dxa"/>
              <w:right w:w="100" w:type="dxa"/>
            </w:tcMar>
          </w:tcPr>
          <w:p>
            <w:pPr>
              <w:spacing w:after="40"/>
              <w:jc w:val="left"/>
            </w:pPr>
            <w:r>
              <w:rPr>
                <w:rFonts w:ascii="Arial" w:hAnsi="Arial"/>
                <w:sz w:val="18"/>
              </w:rPr>
              <w:t>Terma Eléctrica / Ducha (Segundo Piso)</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1.00</w:t>
            </w:r>
          </w:p>
        </w:tc>
        <w:tc>
          <w:tcPr>
            <w:tcW w:type="dxa" w:w="1884"/>
            <w:shd w:fill="FFFFFF"/>
            <w:tcMar>
              <w:top w:w="60" w:type="dxa"/>
              <w:bottom w:w="60" w:type="dxa"/>
              <w:left w:w="100" w:type="dxa"/>
              <w:right w:w="100" w:type="dxa"/>
            </w:tcMar>
          </w:tcPr>
          <w:p>
            <w:pPr>
              <w:spacing w:after="40"/>
              <w:jc w:val="center"/>
            </w:pPr>
            <w:r>
              <w:rPr>
                <w:rFonts w:ascii="Arial" w:hAnsi="Arial"/>
                <w:b/>
                <w:sz w:val="18"/>
              </w:rPr>
              <w:t>1,500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C-5</w:t>
            </w:r>
          </w:p>
        </w:tc>
        <w:tc>
          <w:tcPr>
            <w:tcW w:type="dxa" w:w="1884"/>
            <w:shd w:fill="F0F4F8"/>
            <w:tcMar>
              <w:top w:w="60" w:type="dxa"/>
              <w:bottom w:w="60" w:type="dxa"/>
              <w:left w:w="100" w:type="dxa"/>
              <w:right w:w="100" w:type="dxa"/>
            </w:tcMar>
          </w:tcPr>
          <w:p>
            <w:pPr>
              <w:spacing w:after="40"/>
              <w:jc w:val="left"/>
            </w:pPr>
            <w:r>
              <w:rPr>
                <w:rFonts w:ascii="Arial" w:hAnsi="Arial"/>
                <w:sz w:val="18"/>
              </w:rPr>
              <w:t>Electrobomba de Agua (0.75 HP - Patio/Cisterna)</w:t>
            </w:r>
          </w:p>
        </w:tc>
        <w:tc>
          <w:tcPr>
            <w:tcW w:type="dxa" w:w="1884"/>
            <w:shd w:fill="F0F4F8"/>
            <w:tcMar>
              <w:top w:w="60" w:type="dxa"/>
              <w:bottom w:w="60" w:type="dxa"/>
              <w:left w:w="100" w:type="dxa"/>
              <w:right w:w="100" w:type="dxa"/>
            </w:tcMar>
          </w:tcPr>
          <w:p>
            <w:pPr>
              <w:spacing w:after="40"/>
              <w:jc w:val="center"/>
            </w:pPr>
            <w:r>
              <w:rPr>
                <w:rFonts w:ascii="Arial" w:hAnsi="Arial"/>
                <w:sz w:val="18"/>
              </w:rPr>
              <w:t>750</w:t>
            </w:r>
          </w:p>
        </w:tc>
        <w:tc>
          <w:tcPr>
            <w:tcW w:type="dxa" w:w="1884"/>
            <w:shd w:fill="F0F4F8"/>
            <w:tcMar>
              <w:top w:w="60" w:type="dxa"/>
              <w:bottom w:w="60" w:type="dxa"/>
              <w:left w:w="100" w:type="dxa"/>
              <w:right w:w="100" w:type="dxa"/>
            </w:tcMar>
          </w:tcPr>
          <w:p>
            <w:pPr>
              <w:spacing w:after="40"/>
              <w:jc w:val="center"/>
            </w:pPr>
            <w:r>
              <w:rPr>
                <w:rFonts w:ascii="Arial" w:hAnsi="Arial"/>
                <w:sz w:val="18"/>
              </w:rPr>
              <w:t>1.00</w:t>
            </w:r>
          </w:p>
        </w:tc>
        <w:tc>
          <w:tcPr>
            <w:tcW w:type="dxa" w:w="1884"/>
            <w:shd w:fill="F0F4F8"/>
            <w:tcMar>
              <w:top w:w="60" w:type="dxa"/>
              <w:bottom w:w="60" w:type="dxa"/>
              <w:left w:w="100" w:type="dxa"/>
              <w:right w:w="100" w:type="dxa"/>
            </w:tcMar>
          </w:tcPr>
          <w:p>
            <w:pPr>
              <w:spacing w:after="40"/>
              <w:jc w:val="center"/>
            </w:pPr>
            <w:r>
              <w:rPr>
                <w:rFonts w:ascii="Arial" w:hAnsi="Arial"/>
                <w:b/>
                <w:sz w:val="18"/>
              </w:rPr>
              <w:t>750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C-6</w:t>
            </w:r>
          </w:p>
        </w:tc>
        <w:tc>
          <w:tcPr>
            <w:tcW w:type="dxa" w:w="1884"/>
            <w:shd w:fill="FFFFFF"/>
            <w:tcMar>
              <w:top w:w="60" w:type="dxa"/>
              <w:bottom w:w="60" w:type="dxa"/>
              <w:left w:w="100" w:type="dxa"/>
              <w:right w:w="100" w:type="dxa"/>
            </w:tcMar>
          </w:tcPr>
          <w:p>
            <w:pPr>
              <w:spacing w:after="40"/>
              <w:jc w:val="left"/>
            </w:pPr>
            <w:r>
              <w:rPr>
                <w:rFonts w:ascii="Arial" w:hAnsi="Arial"/>
                <w:sz w:val="18"/>
              </w:rPr>
              <w:t>Tomacorrientes de Cocina (Microondas, Licuadora, etc.)</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0.50</w:t>
            </w:r>
          </w:p>
        </w:tc>
        <w:tc>
          <w:tcPr>
            <w:tcW w:type="dxa" w:w="1884"/>
            <w:shd w:fill="FFFFFF"/>
            <w:tcMar>
              <w:top w:w="60" w:type="dxa"/>
              <w:bottom w:w="60" w:type="dxa"/>
              <w:left w:w="100" w:type="dxa"/>
              <w:right w:w="100" w:type="dxa"/>
            </w:tcMar>
          </w:tcPr>
          <w:p>
            <w:pPr>
              <w:spacing w:after="40"/>
              <w:jc w:val="center"/>
            </w:pPr>
            <w:r>
              <w:rPr>
                <w:rFonts w:ascii="Arial" w:hAnsi="Arial"/>
                <w:b/>
                <w:sz w:val="18"/>
              </w:rPr>
              <w:t>750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C-7</w:t>
            </w:r>
          </w:p>
        </w:tc>
        <w:tc>
          <w:tcPr>
            <w:tcW w:type="dxa" w:w="1884"/>
            <w:shd w:fill="F0F4F8"/>
            <w:tcMar>
              <w:top w:w="60" w:type="dxa"/>
              <w:bottom w:w="60" w:type="dxa"/>
              <w:left w:w="100" w:type="dxa"/>
              <w:right w:w="100" w:type="dxa"/>
            </w:tcMar>
          </w:tcPr>
          <w:p>
            <w:pPr>
              <w:spacing w:after="40"/>
              <w:jc w:val="left"/>
            </w:pPr>
            <w:r>
              <w:rPr>
                <w:rFonts w:ascii="Arial" w:hAnsi="Arial"/>
                <w:sz w:val="18"/>
              </w:rPr>
              <w:t>Lavadora y Secadora de Ropa (Azotea / Lavandería)</w:t>
            </w:r>
          </w:p>
        </w:tc>
        <w:tc>
          <w:tcPr>
            <w:tcW w:type="dxa" w:w="1884"/>
            <w:shd w:fill="F0F4F8"/>
            <w:tcMar>
              <w:top w:w="60" w:type="dxa"/>
              <w:bottom w:w="60" w:type="dxa"/>
              <w:left w:w="100" w:type="dxa"/>
              <w:right w:w="100" w:type="dxa"/>
            </w:tcMar>
          </w:tcPr>
          <w:p>
            <w:pPr>
              <w:spacing w:after="40"/>
              <w:jc w:val="center"/>
            </w:pPr>
            <w:r>
              <w:rPr>
                <w:rFonts w:ascii="Arial" w:hAnsi="Arial"/>
                <w:sz w:val="18"/>
              </w:rPr>
              <w:t>2,500</w:t>
            </w:r>
          </w:p>
        </w:tc>
        <w:tc>
          <w:tcPr>
            <w:tcW w:type="dxa" w:w="1884"/>
            <w:shd w:fill="F0F4F8"/>
            <w:tcMar>
              <w:top w:w="60" w:type="dxa"/>
              <w:bottom w:w="60" w:type="dxa"/>
              <w:left w:w="100" w:type="dxa"/>
              <w:right w:w="100" w:type="dxa"/>
            </w:tcMar>
          </w:tcPr>
          <w:p>
            <w:pPr>
              <w:spacing w:after="40"/>
              <w:jc w:val="center"/>
            </w:pPr>
            <w:r>
              <w:rPr>
                <w:rFonts w:ascii="Arial" w:hAnsi="Arial"/>
                <w:sz w:val="18"/>
              </w:rPr>
              <w:t>0.70</w:t>
            </w:r>
          </w:p>
        </w:tc>
        <w:tc>
          <w:tcPr>
            <w:tcW w:type="dxa" w:w="1884"/>
            <w:shd w:fill="F0F4F8"/>
            <w:tcMar>
              <w:top w:w="60" w:type="dxa"/>
              <w:bottom w:w="60" w:type="dxa"/>
              <w:left w:w="100" w:type="dxa"/>
              <w:right w:w="100" w:type="dxa"/>
            </w:tcMar>
          </w:tcPr>
          <w:p>
            <w:pPr>
              <w:spacing w:after="40"/>
              <w:jc w:val="center"/>
            </w:pPr>
            <w:r>
              <w:rPr>
                <w:rFonts w:ascii="Arial" w:hAnsi="Arial"/>
                <w:b/>
                <w:sz w:val="18"/>
              </w:rPr>
              <w:t>1,750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C-8</w:t>
            </w:r>
          </w:p>
        </w:tc>
        <w:tc>
          <w:tcPr>
            <w:tcW w:type="dxa" w:w="1884"/>
            <w:shd w:fill="FFFFFF"/>
            <w:tcMar>
              <w:top w:w="60" w:type="dxa"/>
              <w:bottom w:w="60" w:type="dxa"/>
              <w:left w:w="100" w:type="dxa"/>
              <w:right w:w="100" w:type="dxa"/>
            </w:tcMar>
          </w:tcPr>
          <w:p>
            <w:pPr>
              <w:spacing w:after="40"/>
              <w:jc w:val="left"/>
            </w:pPr>
            <w:r>
              <w:rPr>
                <w:rFonts w:ascii="Arial" w:hAnsi="Arial"/>
                <w:sz w:val="18"/>
              </w:rPr>
              <w:t>Cargas Especiales de Reserva / Ampliaciones</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0.50</w:t>
            </w:r>
          </w:p>
        </w:tc>
        <w:tc>
          <w:tcPr>
            <w:tcW w:type="dxa" w:w="1884"/>
            <w:shd w:fill="FFFFFF"/>
            <w:tcMar>
              <w:top w:w="60" w:type="dxa"/>
              <w:bottom w:w="60" w:type="dxa"/>
              <w:left w:w="100" w:type="dxa"/>
              <w:right w:w="100" w:type="dxa"/>
            </w:tcMar>
          </w:tcPr>
          <w:p>
            <w:pPr>
              <w:spacing w:after="40"/>
              <w:jc w:val="center"/>
            </w:pPr>
            <w:r>
              <w:rPr>
                <w:rFonts w:ascii="Arial" w:hAnsi="Arial"/>
                <w:b/>
                <w:sz w:val="18"/>
              </w:rPr>
              <w:t>750</w:t>
            </w:r>
          </w:p>
        </w:tc>
      </w:tr>
      <w:tr>
        <w:tc>
          <w:tcPr>
            <w:tcW w:type="dxa" w:w="1884"/>
            <w:shd w:fill="D9E2EC"/>
            <w:tcMar>
              <w:top w:w="60" w:type="dxa"/>
              <w:bottom w:w="60" w:type="dxa"/>
              <w:left w:w="100" w:type="dxa"/>
              <w:right w:w="100" w:type="dxa"/>
            </w:tcMar>
          </w:tcPr>
          <w:p>
            <w:pPr>
              <w:spacing w:after="40"/>
              <w:jc w:val="center"/>
            </w:pPr>
            <w:r>
              <w:rPr>
                <w:rFonts w:ascii="Arial" w:hAnsi="Arial"/>
                <w:b/>
                <w:sz w:val="18"/>
              </w:rPr>
              <w:t>TOTALES</w:t>
            </w:r>
          </w:p>
        </w:tc>
        <w:tc>
          <w:tcPr>
            <w:tcW w:type="dxa" w:w="1884"/>
            <w:shd w:fill="D9E2EC"/>
            <w:tcMar>
              <w:top w:w="60" w:type="dxa"/>
              <w:bottom w:w="60" w:type="dxa"/>
              <w:left w:w="100" w:type="dxa"/>
              <w:right w:w="100" w:type="dxa"/>
            </w:tcMar>
          </w:tcPr>
          <w:p>
            <w:pPr>
              <w:spacing w:after="40"/>
              <w:jc w:val="left"/>
            </w:pPr>
            <w:r>
              <w:rPr>
                <w:rFonts w:ascii="Arial" w:hAnsi="Arial"/>
                <w:b/>
                <w:sz w:val="18"/>
              </w:rPr>
              <w:t>POTENCIA INSTALADA TOTAL Y MÁXIMA DEMANDA</w:t>
            </w:r>
          </w:p>
        </w:tc>
        <w:tc>
          <w:tcPr>
            <w:tcW w:type="dxa" w:w="1884"/>
            <w:shd w:fill="D9E2EC"/>
            <w:tcMar>
              <w:top w:w="60" w:type="dxa"/>
              <w:bottom w:w="60" w:type="dxa"/>
              <w:left w:w="100" w:type="dxa"/>
              <w:right w:w="100" w:type="dxa"/>
            </w:tcMar>
          </w:tcPr>
          <w:p>
            <w:pPr>
              <w:spacing w:after="40"/>
              <w:jc w:val="center"/>
            </w:pPr>
            <w:r>
              <w:rPr>
                <w:rFonts w:ascii="Arial" w:hAnsi="Arial"/>
                <w:b/>
                <w:sz w:val="18"/>
              </w:rPr>
              <w:t>18,250</w:t>
            </w:r>
          </w:p>
        </w:tc>
        <w:tc>
          <w:tcPr>
            <w:tcW w:type="dxa" w:w="1884"/>
            <w:shd w:fill="D9E2EC"/>
            <w:tcMar>
              <w:top w:w="60" w:type="dxa"/>
              <w:bottom w:w="60" w:type="dxa"/>
              <w:left w:w="100" w:type="dxa"/>
              <w:right w:w="100" w:type="dxa"/>
            </w:tcMar>
          </w:tcPr>
          <w:p>
            <w:pPr>
              <w:spacing w:after="40"/>
              <w:jc w:val="center"/>
            </w:pPr>
            <w:r>
              <w:rPr>
                <w:rFonts w:ascii="Arial" w:hAnsi="Arial"/>
                <w:b/>
                <w:sz w:val="18"/>
              </w:rPr>
              <w:t>-</w:t>
            </w:r>
          </w:p>
        </w:tc>
        <w:tc>
          <w:tcPr>
            <w:tcW w:type="dxa" w:w="1884"/>
            <w:shd w:fill="D9E2EC"/>
            <w:tcMar>
              <w:top w:w="60" w:type="dxa"/>
              <w:bottom w:w="60" w:type="dxa"/>
              <w:left w:w="100" w:type="dxa"/>
              <w:right w:w="100" w:type="dxa"/>
            </w:tcMar>
          </w:tcPr>
          <w:p>
            <w:pPr>
              <w:spacing w:after="40"/>
              <w:jc w:val="center"/>
            </w:pPr>
            <w:r>
              <w:rPr>
                <w:rFonts w:ascii="Arial" w:hAnsi="Arial"/>
                <w:b/>
                <w:sz w:val="18"/>
              </w:rPr>
              <w:t>13,500</w:t>
            </w:r>
          </w:p>
        </w:tc>
      </w:tr>
    </w:tbl>
    <w:p>
      <w:pPr>
        <w:spacing w:before="0" w:after="120" w:line="276" w:lineRule="auto"/>
        <w:ind w:firstLine="720"/>
        <w:jc w:val="both"/>
      </w:pPr>
    </w:p>
    <w:p>
      <w:pPr>
        <w:keepNext/>
        <w:spacing w:before="280" w:after="80"/>
        <w:jc w:val="left"/>
      </w:pPr>
      <w:r>
        <w:rPr>
          <w:rFonts w:ascii="Arial" w:hAnsi="Arial"/>
          <w:b/>
          <w:color w:val="184C78"/>
          <w:sz w:val="24"/>
        </w:rPr>
        <w:t>11.0 REPRODUCCIÓN Y ESQUEMA DEL PLANO DE INSTALACIONES ELÉCTRICAS (LÁMINA IE-01)</w:t>
      </w:r>
    </w:p>
    <w:p>
      <w:pPr>
        <w:spacing w:before="0" w:after="120" w:line="276" w:lineRule="auto"/>
        <w:ind w:firstLine="720"/>
        <w:jc w:val="both"/>
      </w:pPr>
      <w:r>
        <w:rPr>
          <w:rFonts w:ascii="Arial" w:hAnsi="Arial"/>
          <w:b w:val="0"/>
          <w:i w:val="0"/>
          <w:color w:val="000000"/>
          <w:sz w:val="22"/>
        </w:rPr>
        <w:t>A continuación se integra la representación gráfica oficial del plano de instalaciones eléctricas proyectado por Diego Jefferson Charaja Mamani (Lámina IE-01, Escala 1:50), especificando la arquitectura de los tres niveles, los centros de luz, tomacorrientes y tableros:</w:t>
      </w:r>
    </w:p>
    <w:p>
      <w:pPr>
        <w:jc w:val="center"/>
      </w:pPr>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fig_plano_diego_arquitectura.png"/>
                    <pic:cNvPicPr/>
                  </pic:nvPicPr>
                  <pic:blipFill>
                    <a:blip r:embed="rId9"/>
                    <a:stretch>
                      <a:fillRect/>
                    </a:stretch>
                  </pic:blipFill>
                  <pic:spPr>
                    <a:xfrm>
                      <a:off x="0" y="0"/>
                      <a:ext cx="5669280" cy="3023616"/>
                    </a:xfrm>
                    <a:prstGeom prst="rect"/>
                  </pic:spPr>
                </pic:pic>
              </a:graphicData>
            </a:graphic>
          </wp:inline>
        </w:drawing>
      </w:r>
    </w:p>
    <w:p>
      <w:pPr>
        <w:spacing w:before="80" w:after="240"/>
        <w:jc w:val="center"/>
      </w:pPr>
      <w:r>
        <w:rPr>
          <w:rFonts w:ascii="Arial" w:hAnsi="Arial"/>
          <w:b/>
          <w:i/>
          <w:color w:val="3C3C3C"/>
          <w:sz w:val="19"/>
        </w:rPr>
        <w:t>Figura 3: Reproducción y Esquema del Plano de Instalaciones Eléctricas por Niveles de Diego Charaja (Lámina IE-01, Escala 1:50)</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40" w:after="200"/>
        <w:jc w:val="center"/>
      </w:pPr>
      <w:r>
        <w:rPr>
          <w:rFonts w:ascii="Arial" w:hAnsi="Arial"/>
          <w:b/>
          <w:color w:val="0F2043"/>
          <w:sz w:val="28"/>
        </w:rPr>
        <w:t>II. CÁLCULOS JUSTIFICATORIOS Y DIAGRAMA UNIFILAR ESTÁNDAR PERÚ</w:t>
      </w:r>
    </w:p>
    <w:p>
      <w:pPr>
        <w:keepNext/>
        <w:spacing w:before="280" w:after="80"/>
        <w:jc w:val="left"/>
      </w:pPr>
      <w:r>
        <w:rPr>
          <w:rFonts w:ascii="Arial" w:hAnsi="Arial"/>
          <w:b/>
          <w:color w:val="184C78"/>
          <w:sz w:val="24"/>
        </w:rPr>
        <w:t>2.1 INTRODUCCIÓN Y CRITERIOS DE DISEÑO ELÉCTRICO</w:t>
      </w:r>
    </w:p>
    <w:p>
      <w:pPr>
        <w:spacing w:before="0" w:after="120" w:line="276" w:lineRule="auto"/>
        <w:ind w:firstLine="720"/>
        <w:jc w:val="both"/>
      </w:pPr>
      <w:r>
        <w:rPr>
          <w:rFonts w:ascii="Arial" w:hAnsi="Arial"/>
          <w:b w:val="0"/>
          <w:i w:val="0"/>
          <w:color w:val="000000"/>
          <w:sz w:val="22"/>
        </w:rPr>
        <w:t>El dimensionamiento de los conductores, tuberías y dispositivos de protección de la Vivienda Unifamiliar se sustenta en el cálculo analítico bajo tres criterios fundamentales de ingeniería eléctrica: Ampacidad, Caída de Tensión (ΔV ≤ 2.5% Alimentador / ≤ 4.0% Total) y Protecciones Térmicas e Interruptores Diferenciales de 30 mA.</w:t>
      </w:r>
    </w:p>
    <w:p>
      <w:pPr>
        <w:keepNext/>
        <w:spacing w:before="280" w:after="80"/>
        <w:jc w:val="left"/>
      </w:pPr>
      <w:r>
        <w:rPr>
          <w:rFonts w:ascii="Arial" w:hAnsi="Arial"/>
          <w:b/>
          <w:color w:val="184C78"/>
          <w:sz w:val="24"/>
        </w:rPr>
        <w:t>2.2 FÓRMULAS EMPLEADAS Y DESARROLLO MATEMÁTICO PASO A PASO</w:t>
      </w:r>
    </w:p>
    <w:p>
      <w:pPr>
        <w:spacing w:before="0" w:after="120" w:line="276" w:lineRule="auto"/>
        <w:ind w:firstLine="720"/>
        <w:jc w:val="both"/>
      </w:pPr>
      <w:r>
        <w:rPr>
          <w:rFonts w:ascii="Arial" w:hAnsi="Arial"/>
          <w:b w:val="0"/>
          <w:i w:val="0"/>
          <w:color w:val="000000"/>
          <w:sz w:val="22"/>
        </w:rPr>
        <w:t>a) Corriente Nominal Trifásica: In = MD / (√3 x V x cos φ) = 13500 / (1.73205 x 220 x 0.90) = 39.36 A.</w:t>
        <w:br/>
        <w:t>b) Corriente de Diseño: Id = 1.25 x 39.36 A = 49.20 A.</w:t>
        <w:br/>
        <w:t>c) Caída de Tensión Alimentador (L = 15 m): ΔV = (1.73205 x 39.36 x 15 x 0.0175) / 10 = 1.79 V (%ΔV = 0.81% ≤ 2.5%).</w:t>
      </w:r>
    </w:p>
    <w:p>
      <w:pPr>
        <w:keepNext/>
        <w:spacing w:before="280" w:after="80"/>
        <w:jc w:val="left"/>
      </w:pPr>
      <w:r>
        <w:rPr>
          <w:rFonts w:ascii="Arial" w:hAnsi="Arial"/>
          <w:b/>
          <w:color w:val="184C78"/>
          <w:sz w:val="24"/>
        </w:rPr>
        <w:t>2.5 ESQUEMA Y ESPECIFICACIÓN DETALLADA DEL DIAGRAMA UNIFILAR (NORMA PERÚ)</w:t>
      </w:r>
    </w:p>
    <w:p>
      <w:pPr>
        <w:spacing w:before="0" w:after="120" w:line="276" w:lineRule="auto"/>
        <w:ind w:firstLine="720"/>
        <w:jc w:val="both"/>
      </w:pPr>
      <w:r>
        <w:rPr>
          <w:rFonts w:ascii="Arial" w:hAnsi="Arial"/>
          <w:b w:val="0"/>
          <w:i w:val="0"/>
          <w:color w:val="000000"/>
          <w:sz w:val="22"/>
        </w:rPr>
        <w:t>El Diagrama Unifilar del Tablero General (TD) ha sido dibujado siguiendo rigurosamente las normas del Código Nacional de Electricidad (CNE-U), el Reglamento Nacional de Edificaciones (RNE EM.010) y la simbología DGE del Ministerio de Energía y Minas (MEM) de Perú:</w:t>
      </w:r>
    </w:p>
    <w:p>
      <w:pPr>
        <w:jc w:val="center"/>
      </w:pPr>
      <w:r>
        <w:drawing>
          <wp:inline xmlns:a="http://schemas.openxmlformats.org/drawingml/2006/main" xmlns:pic="http://schemas.openxmlformats.org/drawingml/2006/picture">
            <wp:extent cx="5669280" cy="4049486"/>
            <wp:docPr id="2" name="Picture 2"/>
            <wp:cNvGraphicFramePr>
              <a:graphicFrameLocks noChangeAspect="1"/>
            </wp:cNvGraphicFramePr>
            <a:graphic>
              <a:graphicData uri="http://schemas.openxmlformats.org/drawingml/2006/picture">
                <pic:pic>
                  <pic:nvPicPr>
                    <pic:cNvPr id="0" name="fig_diagrama_unifilar.png"/>
                    <pic:cNvPicPr/>
                  </pic:nvPicPr>
                  <pic:blipFill>
                    <a:blip r:embed="rId10"/>
                    <a:stretch>
                      <a:fillRect/>
                    </a:stretch>
                  </pic:blipFill>
                  <pic:spPr>
                    <a:xfrm>
                      <a:off x="0" y="0"/>
                      <a:ext cx="5669280" cy="4049486"/>
                    </a:xfrm>
                    <a:prstGeom prst="rect"/>
                  </pic:spPr>
                </pic:pic>
              </a:graphicData>
            </a:graphic>
          </wp:inline>
        </w:drawing>
      </w:r>
    </w:p>
    <w:p>
      <w:pPr>
        <w:spacing w:before="80" w:after="240"/>
        <w:jc w:val="center"/>
      </w:pPr>
      <w:r>
        <w:rPr>
          <w:rFonts w:ascii="Arial" w:hAnsi="Arial"/>
          <w:b/>
          <w:i/>
          <w:color w:val="3C3C3C"/>
          <w:sz w:val="19"/>
        </w:rPr>
        <w:t>Figura 1: Diagrama Unifilar Detallado del Tablero General TD (Conforme a Normas de Planos en Perú - DGE / MEM / CNE-U)</w:t>
      </w:r>
    </w:p>
    <w:p>
      <w:pPr>
        <w:keepNext/>
        <w:spacing w:before="280" w:after="80"/>
        <w:jc w:val="left"/>
      </w:pPr>
      <w:r>
        <w:rPr>
          <w:rFonts w:ascii="Arial" w:hAnsi="Arial"/>
          <w:b/>
          <w:color w:val="184C78"/>
          <w:sz w:val="24"/>
        </w:rPr>
        <w:t>2.8 CÁLCULO DE OCUPACIÓN DE CONDUCCIONES Y TUBOS PVC (PORCENTAJE ≤ 40%)</w:t>
      </w:r>
    </w:p>
    <w:p>
      <w:pPr>
        <w:spacing w:before="0" w:after="120" w:line="276" w:lineRule="auto"/>
        <w:ind w:firstLine="720"/>
        <w:jc w:val="both"/>
      </w:pPr>
      <w:r>
        <w:rPr>
          <w:rFonts w:ascii="Arial" w:hAnsi="Arial"/>
          <w:b w:val="0"/>
          <w:i w:val="0"/>
          <w:color w:val="000000"/>
          <w:sz w:val="22"/>
        </w:rPr>
        <w:t>Conforme a la Regla 070-300 del CNE-Utilización, el área total ocupada por los conductores eléctricos dentro de una tubería o canalización no debe exceder del 40% de la sección transversal interna del tubo para permitir la disipación térmica y evitar el estrangulamiento durante el cableado.</w:t>
        <w:br/>
        <w:t>• Alimentador Principal (Tubo PVC-P 25 mmØ = 1"Ø, Área interna = 380 mm²):</w:t>
        <w:br/>
        <w:t xml:space="preserve">  - 3 conductores de 10 mm² NH-80 (Área total = 90.57 mm² -&gt; % Ocupación: 23.83% ≤ 40%, CUMPLE).</w:t>
        <w:br/>
        <w:t>• Circuitos Derivados (Tubo PVC 20 mmØ = 3/4"Ø, Área interna = 220 mm²):</w:t>
        <w:br/>
        <w:t xml:space="preserve">  - 2 conductores de 4.0 mm² NH-80 (Área total = 30.40 mm² -&gt; % Ocupación: 13.81% ≤ 40%, CUMPLE).</w:t>
      </w:r>
    </w:p>
    <w:p>
      <w:pPr>
        <w:keepNext/>
        <w:spacing w:before="280" w:after="80"/>
        <w:jc w:val="left"/>
      </w:pPr>
      <w:r>
        <w:rPr>
          <w:rFonts w:ascii="Arial" w:hAnsi="Arial"/>
          <w:b/>
          <w:color w:val="184C78"/>
          <w:sz w:val="24"/>
        </w:rPr>
        <w:t>2.9 CÁLCULOS DE ILUMINACIÓN Y NIVELES DE LUX POR AMBIENTE (RNE EM.010 / EM.020)</w:t>
      </w:r>
    </w:p>
    <w:p>
      <w:pPr>
        <w:spacing w:before="0" w:after="120" w:line="276" w:lineRule="auto"/>
        <w:ind w:firstLine="720"/>
        <w:jc w:val="both"/>
      </w:pPr>
      <w:r>
        <w:rPr>
          <w:rFonts w:ascii="Arial" w:hAnsi="Arial"/>
          <w:b w:val="0"/>
          <w:i w:val="0"/>
          <w:color w:val="000000"/>
          <w:sz w:val="22"/>
        </w:rPr>
        <w:t>Se determinan los niveles de iluminancia media exigidos por el RNE EM.010 y EM.020 para garantizar el confort visual y la eficiencia energética LED:</w:t>
        <w:br/>
        <w:t>• Sala-Comedor: Lux requerido = 150 Lux -&gt; Instalado: 8 dicroicos 7W + 2 paneles 24W (180 Lux, CUMPLE).</w:t>
        <w:br/>
        <w:t>• Cocina: Lux requerido = 300 Lux -&gt; Instalado: 2 paneles 24W (320 Lux, CUMPLE).</w:t>
        <w:br/>
        <w:t>• Dormitorios: Lux requerido = 100 Lux -&gt; Instalado: Plafón LED 18W (125 Lux, CUMPLE).</w:t>
        <w:br/>
        <w:t>• Servicios Higiénicos: Lux requerido = 150 Lux -&gt; Instalado: Adosable LED IP44 15W (160 Lux, CUMPLE).</w:t>
      </w:r>
    </w:p>
    <w:p>
      <w:pPr>
        <w:keepNext/>
        <w:spacing w:before="280" w:after="80"/>
        <w:jc w:val="left"/>
      </w:pPr>
      <w:r>
        <w:rPr>
          <w:rFonts w:ascii="Arial" w:hAnsi="Arial"/>
          <w:b/>
          <w:color w:val="184C78"/>
          <w:sz w:val="24"/>
        </w:rPr>
        <w:t>2.10 CÁLCULO DE CORTOCIRCUITO ESTIMADO EN BARRAS DEL TABLERO GENERAL</w:t>
      </w:r>
    </w:p>
    <w:p>
      <w:pPr>
        <w:spacing w:before="0" w:after="120" w:line="276" w:lineRule="auto"/>
        <w:ind w:firstLine="720"/>
        <w:jc w:val="both"/>
      </w:pPr>
      <w:r>
        <w:rPr>
          <w:rFonts w:ascii="Arial" w:hAnsi="Arial"/>
          <w:b w:val="0"/>
          <w:i w:val="0"/>
          <w:color w:val="000000"/>
          <w:sz w:val="22"/>
        </w:rPr>
        <w:t>Para un transformador de distribución secundaria de 160 kVA (22.9/0.23 kV, Zcc = 4.5%), la corriente de cortocircuito simétrica estimada en barras del Tablero General TD a una distancia L = 15 m de acometida es Icc ≈ 2.85 kA. Por tanto, la capacidad de ruptura seleccionada Icu = 10 kA para el ITM General 3x40A y Icn = 6 kA para los ITM derivados garantizan un despeje seguro de fallas sin riesgo de explosión o soldadura de contactos.</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40" w:after="200"/>
        <w:jc w:val="center"/>
      </w:pPr>
      <w:r>
        <w:rPr>
          <w:rFonts w:ascii="Arial" w:hAnsi="Arial"/>
          <w:b/>
          <w:color w:val="0F2043"/>
          <w:sz w:val="28"/>
        </w:rPr>
        <w:t>III. ESPECIFICACIONES TÉCNICAS DE MATERIALES Y MONTAJE</w:t>
      </w:r>
    </w:p>
    <w:p>
      <w:pPr>
        <w:keepNext/>
        <w:spacing w:before="280" w:after="80"/>
        <w:jc w:val="left"/>
      </w:pPr>
      <w:r>
        <w:rPr>
          <w:rFonts w:ascii="Arial" w:hAnsi="Arial"/>
          <w:b/>
          <w:color w:val="184C78"/>
          <w:sz w:val="24"/>
        </w:rPr>
        <w:t>1. GENERALIDADES Y MARCO NORMATIVO</w:t>
      </w:r>
    </w:p>
    <w:p>
      <w:pPr>
        <w:spacing w:before="0" w:after="120" w:line="276" w:lineRule="auto"/>
        <w:ind w:firstLine="720"/>
        <w:jc w:val="both"/>
      </w:pPr>
      <w:r>
        <w:rPr>
          <w:rFonts w:ascii="Arial" w:hAnsi="Arial"/>
          <w:b w:val="0"/>
          <w:i w:val="0"/>
          <w:color w:val="000000"/>
          <w:sz w:val="22"/>
        </w:rPr>
        <w:t>Las presentes Especificaciones Técnicas establecen los requisitos mínimos obligatorios de fabricación, calidad, dimensiones, pruebas y métodos de instalación de todos los componentes de las instalaciones eléctricas de la Vivienda Unifamiliar.</w:t>
      </w:r>
    </w:p>
    <w:p>
      <w:pPr>
        <w:keepNext/>
        <w:spacing w:before="280" w:after="80"/>
        <w:jc w:val="left"/>
      </w:pPr>
      <w:r>
        <w:rPr>
          <w:rFonts w:ascii="Arial" w:hAnsi="Arial"/>
          <w:b/>
          <w:color w:val="184C78"/>
          <w:sz w:val="24"/>
        </w:rPr>
        <w:t>2. ESPECIFICACIONES TÉCNICAS DE MATERIALES</w:t>
      </w:r>
    </w:p>
    <w:p>
      <w:pPr>
        <w:spacing w:before="0" w:after="120" w:line="276" w:lineRule="auto"/>
        <w:ind w:firstLine="720"/>
        <w:jc w:val="both"/>
      </w:pPr>
      <w:r>
        <w:rPr>
          <w:rFonts w:ascii="Arial" w:hAnsi="Arial"/>
          <w:b w:val="0"/>
          <w:i w:val="0"/>
          <w:color w:val="000000"/>
          <w:sz w:val="22"/>
        </w:rPr>
        <w:t>• Tuberías: PVC-P (SAP) Pesado para alimentadores y losas; PVC-L (SEL) Liviano para empotramientos en muro.</w:t>
        <w:br/>
        <w:t>• Conductores: Ecológicos Cero Halógenos LSZH tipo NH-80 y N2XH conforme a NTP 370.252 y CNE-U 020-028.</w:t>
        <w:br/>
        <w:t>• Protecciones: Interruptores Termomagnéticos (ITM 10 kA general / 6 kA derivados) e Interruptores Diferenciales ID de 30 mA para protección humana.</w:t>
      </w:r>
    </w:p>
    <w:p>
      <w:pPr>
        <w:keepNext/>
        <w:spacing w:before="280" w:after="80"/>
        <w:jc w:val="left"/>
      </w:pPr>
      <w:r>
        <w:rPr>
          <w:rFonts w:ascii="Arial" w:hAnsi="Arial"/>
          <w:b/>
          <w:color w:val="184C78"/>
          <w:sz w:val="24"/>
        </w:rPr>
        <w:t>4. PRUEBAS ELECTROMECÁNICAS Y PUESTA EN SERVICIO</w:t>
      </w:r>
    </w:p>
    <w:p>
      <w:pPr>
        <w:spacing w:before="0" w:after="120" w:line="276" w:lineRule="auto"/>
        <w:ind w:firstLine="720"/>
        <w:jc w:val="both"/>
      </w:pPr>
      <w:r>
        <w:rPr>
          <w:rFonts w:ascii="Arial" w:hAnsi="Arial"/>
          <w:b w:val="0"/>
          <w:i w:val="0"/>
          <w:color w:val="000000"/>
          <w:sz w:val="22"/>
        </w:rPr>
        <w:t>Pruebas obligatorias antes de la energización:</w:t>
        <w:br/>
        <w:t>1. Prueba de Resistencia de Aislamiento (Megado 500V DC ≥ 50 MΩ entre fases y masa).</w:t>
        <w:br/>
        <w:t>2. Prueba de Continuidade Aislamiento de Conducciones.</w:t>
        <w:br/>
        <w:t>3. Prueba de Disparo de Interruptores Diferenciales (30 mA, t ≤ 40 ms).</w:t>
      </w:r>
    </w:p>
    <w:p>
      <w:pPr>
        <w:keepNext/>
        <w:spacing w:before="280" w:after="80"/>
        <w:jc w:val="left"/>
      </w:pPr>
      <w:r>
        <w:rPr>
          <w:rFonts w:ascii="Arial" w:hAnsi="Arial"/>
          <w:b/>
          <w:color w:val="184C78"/>
          <w:sz w:val="24"/>
        </w:rPr>
        <w:t>5. ESPECIFICACIONES DE MONTAJE Y PLAN DE MANTENIMIENTO PREVENTIVO ANUAL</w:t>
      </w:r>
    </w:p>
    <w:p>
      <w:pPr>
        <w:spacing w:before="0" w:after="120" w:line="276" w:lineRule="auto"/>
        <w:ind w:firstLine="720"/>
        <w:jc w:val="both"/>
      </w:pPr>
      <w:r>
        <w:rPr>
          <w:rFonts w:ascii="Arial" w:hAnsi="Arial"/>
          <w:b w:val="0"/>
          <w:i w:val="0"/>
          <w:color w:val="000000"/>
          <w:sz w:val="22"/>
        </w:rPr>
        <w:t>Se establece el Plan de Mantenimiento Preventivo Anual para el Tablero General y redes de la edificación:</w:t>
        <w:br/>
        <w:t>• Inspección termográfica de bornes y reajuste de torque en tornillos del tablero cada 12 meses.</w:t>
        <w:br/>
        <w:t>• Verificación de disparo mecánico y eléctrico del botón TEST de los interruptores diferenciales de 30 mA cada 6 meses.</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40" w:after="200"/>
        <w:jc w:val="center"/>
      </w:pPr>
      <w:r>
        <w:rPr>
          <w:rFonts w:ascii="Arial" w:hAnsi="Arial"/>
          <w:b/>
          <w:color w:val="0F2043"/>
          <w:sz w:val="28"/>
        </w:rPr>
        <w:t>IV. MATRIZ DE INCONSISTENCIAS Y PROPUESTAS TÉCNICAS DE MEJORA</w:t>
      </w:r>
    </w:p>
    <w:p>
      <w:pPr>
        <w:keepNext/>
        <w:spacing w:before="280" w:after="80"/>
        <w:jc w:val="left"/>
      </w:pPr>
      <w:r>
        <w:rPr>
          <w:rFonts w:ascii="Arial" w:hAnsi="Arial"/>
          <w:b/>
          <w:color w:val="184C78"/>
          <w:sz w:val="24"/>
        </w:rPr>
        <w:t>1.0 PRESENTACIÓN E IMPORTANCIA DE LA AUDITORÍA TÉCNICA</w:t>
      </w:r>
    </w:p>
    <w:p>
      <w:pPr>
        <w:spacing w:before="0" w:after="120" w:line="276" w:lineRule="auto"/>
        <w:ind w:firstLine="720"/>
        <w:jc w:val="both"/>
      </w:pPr>
      <w:r>
        <w:rPr>
          <w:rFonts w:ascii="Arial" w:hAnsi="Arial"/>
          <w:b w:val="0"/>
          <w:i w:val="0"/>
          <w:color w:val="000000"/>
          <w:sz w:val="22"/>
        </w:rPr>
        <w:t>Auditoría técnica cruzada entre los planos de Diego Charaja (Lámina IE-01), su cuadro de cargas en Excel y las exigencias del Código Nacional de Electricidad.</w:t>
      </w:r>
    </w:p>
    <w:p>
      <w:pPr>
        <w:keepNext/>
        <w:spacing w:before="280" w:after="80"/>
        <w:jc w:val="left"/>
      </w:pPr>
      <w:r>
        <w:rPr>
          <w:rFonts w:ascii="Arial" w:hAnsi="Arial"/>
          <w:b/>
          <w:color w:val="184C78"/>
          <w:sz w:val="24"/>
        </w:rPr>
        <w:t>2.0 MATRIZ CONSOLIDADA DE INCONSISTENCIAS Y SOLUCIONES TÉCNICAS</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shd w:fill="0F2043"/>
            <w:tcMar>
              <w:top w:w="80" w:type="dxa"/>
              <w:bottom w:w="80" w:type="dxa"/>
              <w:left w:w="80" w:type="dxa"/>
              <w:right w:w="80" w:type="dxa"/>
            </w:tcMar>
          </w:tcPr>
          <w:p>
            <w:pPr>
              <w:jc w:val="center"/>
            </w:pPr>
            <w:r>
              <w:rPr>
                <w:rFonts w:ascii="Arial" w:hAnsi="Arial"/>
                <w:b/>
                <w:color w:val="FFFFFF"/>
                <w:sz w:val="18"/>
              </w:rPr>
              <w:t>Item</w:t>
            </w:r>
          </w:p>
        </w:tc>
        <w:tc>
          <w:tcPr>
            <w:tcW w:type="dxa" w:w="1884"/>
            <w:shd w:fill="0F2043"/>
            <w:tcMar>
              <w:top w:w="80" w:type="dxa"/>
              <w:bottom w:w="80" w:type="dxa"/>
              <w:left w:w="80" w:type="dxa"/>
              <w:right w:w="80" w:type="dxa"/>
            </w:tcMar>
          </w:tcPr>
          <w:p>
            <w:pPr>
              <w:jc w:val="center"/>
            </w:pPr>
            <w:r>
              <w:rPr>
                <w:rFonts w:ascii="Arial" w:hAnsi="Arial"/>
                <w:b/>
                <w:color w:val="FFFFFF"/>
                <w:sz w:val="18"/>
              </w:rPr>
              <w:t>Elemento Evaluado</w:t>
            </w:r>
          </w:p>
        </w:tc>
        <w:tc>
          <w:tcPr>
            <w:tcW w:type="dxa" w:w="1884"/>
            <w:shd w:fill="0F2043"/>
            <w:tcMar>
              <w:top w:w="80" w:type="dxa"/>
              <w:bottom w:w="80" w:type="dxa"/>
              <w:left w:w="80" w:type="dxa"/>
              <w:right w:w="80" w:type="dxa"/>
            </w:tcMar>
          </w:tcPr>
          <w:p>
            <w:pPr>
              <w:jc w:val="center"/>
            </w:pPr>
            <w:r>
              <w:rPr>
                <w:rFonts w:ascii="Arial" w:hAnsi="Arial"/>
                <w:b/>
                <w:color w:val="FFFFFF"/>
                <w:sz w:val="18"/>
              </w:rPr>
              <w:t>Discrepancia Identificada</w:t>
            </w:r>
          </w:p>
        </w:tc>
        <w:tc>
          <w:tcPr>
            <w:tcW w:type="dxa" w:w="1884"/>
            <w:shd w:fill="0F2043"/>
            <w:tcMar>
              <w:top w:w="80" w:type="dxa"/>
              <w:bottom w:w="80" w:type="dxa"/>
              <w:left w:w="80" w:type="dxa"/>
              <w:right w:w="80" w:type="dxa"/>
            </w:tcMar>
          </w:tcPr>
          <w:p>
            <w:pPr>
              <w:jc w:val="center"/>
            </w:pPr>
            <w:r>
              <w:rPr>
                <w:rFonts w:ascii="Arial" w:hAnsi="Arial"/>
                <w:b/>
                <w:color w:val="FFFFFF"/>
                <w:sz w:val="18"/>
              </w:rPr>
              <w:t>Solución / Propuesta Adoptada</w:t>
            </w:r>
          </w:p>
        </w:tc>
        <w:tc>
          <w:tcPr>
            <w:tcW w:type="dxa" w:w="1884"/>
            <w:shd w:fill="0F2043"/>
            <w:tcMar>
              <w:top w:w="80" w:type="dxa"/>
              <w:bottom w:w="80" w:type="dxa"/>
              <w:left w:w="80" w:type="dxa"/>
              <w:right w:w="80" w:type="dxa"/>
            </w:tcMar>
          </w:tcPr>
          <w:p>
            <w:pPr>
              <w:jc w:val="center"/>
            </w:pPr>
            <w:r>
              <w:rPr>
                <w:rFonts w:ascii="Arial" w:hAnsi="Arial"/>
                <w:b/>
                <w:color w:val="FFFFFF"/>
                <w:sz w:val="18"/>
              </w:rPr>
              <w:t>Justificación Normativa</w:t>
            </w:r>
          </w:p>
        </w:tc>
      </w:tr>
      <w:tr>
        <w:tc>
          <w:tcPr>
            <w:tcW w:type="dxa" w:w="1884"/>
            <w:shd w:fill="F0F4F8"/>
            <w:tcMar>
              <w:top w:w="50" w:type="dxa"/>
              <w:bottom w:w="50" w:type="dxa"/>
              <w:left w:w="60" w:type="dxa"/>
              <w:right w:w="60" w:type="dxa"/>
            </w:tcMar>
          </w:tcPr>
          <w:p>
            <w:pPr>
              <w:jc w:val="center"/>
            </w:pPr>
            <w:r>
              <w:rPr>
                <w:rFonts w:ascii="Arial" w:hAnsi="Arial"/>
                <w:b/>
                <w:sz w:val="17"/>
              </w:rPr>
              <w:t>1</w:t>
            </w:r>
          </w:p>
        </w:tc>
        <w:tc>
          <w:tcPr>
            <w:tcW w:type="dxa" w:w="1884"/>
            <w:shd w:fill="F0F4F8"/>
            <w:tcMar>
              <w:top w:w="50" w:type="dxa"/>
              <w:bottom w:w="50" w:type="dxa"/>
              <w:left w:w="60" w:type="dxa"/>
              <w:right w:w="60" w:type="dxa"/>
            </w:tcMar>
          </w:tcPr>
          <w:p>
            <w:pPr>
              <w:jc w:val="left"/>
            </w:pPr>
            <w:r>
              <w:rPr>
                <w:rFonts w:ascii="Arial" w:hAnsi="Arial"/>
                <w:b/>
                <w:sz w:val="17"/>
              </w:rPr>
              <w:t>Concesionaria Eléctrica</w:t>
            </w:r>
          </w:p>
        </w:tc>
        <w:tc>
          <w:tcPr>
            <w:tcW w:type="dxa" w:w="1884"/>
            <w:shd w:fill="F0F4F8"/>
            <w:tcMar>
              <w:top w:w="50" w:type="dxa"/>
              <w:bottom w:w="50" w:type="dxa"/>
              <w:left w:w="60" w:type="dxa"/>
              <w:right w:w="60" w:type="dxa"/>
            </w:tcMar>
          </w:tcPr>
          <w:p>
            <w:pPr>
              <w:jc w:val="left"/>
            </w:pPr>
            <w:r>
              <w:rPr>
                <w:rFonts w:ascii="Arial" w:hAnsi="Arial"/>
                <w:sz w:val="17"/>
              </w:rPr>
              <w:t>Plano indica 'RED DE EDELNOR' (Lima Norte).</w:t>
            </w:r>
          </w:p>
        </w:tc>
        <w:tc>
          <w:tcPr>
            <w:tcW w:type="dxa" w:w="1884"/>
            <w:shd w:fill="F0F4F8"/>
            <w:tcMar>
              <w:top w:w="50" w:type="dxa"/>
              <w:bottom w:w="50" w:type="dxa"/>
              <w:left w:w="60" w:type="dxa"/>
              <w:right w:w="60" w:type="dxa"/>
            </w:tcMar>
          </w:tcPr>
          <w:p>
            <w:pPr>
              <w:jc w:val="left"/>
            </w:pPr>
            <w:r>
              <w:rPr>
                <w:rFonts w:ascii="Arial" w:hAnsi="Arial"/>
                <w:sz w:val="17"/>
              </w:rPr>
              <w:t>Se corrigió consignando a ELECTRO PUNO S.A.A. (o concesionaria local).</w:t>
            </w:r>
          </w:p>
        </w:tc>
        <w:tc>
          <w:tcPr>
            <w:tcW w:type="dxa" w:w="1884"/>
            <w:shd w:fill="F0F4F8"/>
            <w:tcMar>
              <w:top w:w="50" w:type="dxa"/>
              <w:bottom w:w="50" w:type="dxa"/>
              <w:left w:w="60" w:type="dxa"/>
              <w:right w:w="60" w:type="dxa"/>
            </w:tcMar>
          </w:tcPr>
          <w:p>
            <w:pPr>
              <w:jc w:val="left"/>
            </w:pPr>
            <w:r>
              <w:rPr>
                <w:rFonts w:ascii="Arial" w:hAnsi="Arial"/>
                <w:sz w:val="17"/>
              </w:rPr>
              <w:t>Coherencia geográfica con la ciudad de Puno / UNAP.</w:t>
            </w:r>
          </w:p>
        </w:tc>
      </w:tr>
      <w:tr>
        <w:tc>
          <w:tcPr>
            <w:tcW w:type="dxa" w:w="1884"/>
            <w:shd w:fill="FFFFFF"/>
            <w:tcMar>
              <w:top w:w="50" w:type="dxa"/>
              <w:bottom w:w="50" w:type="dxa"/>
              <w:left w:w="60" w:type="dxa"/>
              <w:right w:w="60" w:type="dxa"/>
            </w:tcMar>
          </w:tcPr>
          <w:p>
            <w:pPr>
              <w:jc w:val="center"/>
            </w:pPr>
            <w:r>
              <w:rPr>
                <w:rFonts w:ascii="Arial" w:hAnsi="Arial"/>
                <w:b/>
                <w:sz w:val="17"/>
              </w:rPr>
              <w:t>2</w:t>
            </w:r>
          </w:p>
        </w:tc>
        <w:tc>
          <w:tcPr>
            <w:tcW w:type="dxa" w:w="1884"/>
            <w:shd w:fill="FFFFFF"/>
            <w:tcMar>
              <w:top w:w="50" w:type="dxa"/>
              <w:bottom w:w="50" w:type="dxa"/>
              <w:left w:w="60" w:type="dxa"/>
              <w:right w:w="60" w:type="dxa"/>
            </w:tcMar>
          </w:tcPr>
          <w:p>
            <w:pPr>
              <w:jc w:val="left"/>
            </w:pPr>
            <w:r>
              <w:rPr>
                <w:rFonts w:ascii="Arial" w:hAnsi="Arial"/>
                <w:b/>
                <w:sz w:val="17"/>
              </w:rPr>
              <w:t>Tipología de Edificación</w:t>
            </w:r>
          </w:p>
        </w:tc>
        <w:tc>
          <w:tcPr>
            <w:tcW w:type="dxa" w:w="1884"/>
            <w:shd w:fill="FFFFFF"/>
            <w:tcMar>
              <w:top w:w="50" w:type="dxa"/>
              <w:bottom w:w="50" w:type="dxa"/>
              <w:left w:w="60" w:type="dxa"/>
              <w:right w:w="60" w:type="dxa"/>
            </w:tcMar>
          </w:tcPr>
          <w:p>
            <w:pPr>
              <w:jc w:val="left"/>
            </w:pPr>
            <w:r>
              <w:rPr>
                <w:rFonts w:ascii="Arial" w:hAnsi="Arial"/>
                <w:sz w:val="17"/>
              </w:rPr>
              <w:t>Word modelo citaba 'Vivienda Multifamiliar'.</w:t>
            </w:r>
          </w:p>
        </w:tc>
        <w:tc>
          <w:tcPr>
            <w:tcW w:type="dxa" w:w="1884"/>
            <w:shd w:fill="FFFFFF"/>
            <w:tcMar>
              <w:top w:w="50" w:type="dxa"/>
              <w:bottom w:w="50" w:type="dxa"/>
              <w:left w:w="60" w:type="dxa"/>
              <w:right w:w="60" w:type="dxa"/>
            </w:tcMar>
          </w:tcPr>
          <w:p>
            <w:pPr>
              <w:jc w:val="left"/>
            </w:pPr>
            <w:r>
              <w:rPr>
                <w:rFonts w:ascii="Arial" w:hAnsi="Arial"/>
                <w:sz w:val="17"/>
              </w:rPr>
              <w:t>Se reestructuró para 'Vivienda Unifamiliar de 3 niveles' según plano.</w:t>
            </w:r>
          </w:p>
        </w:tc>
        <w:tc>
          <w:tcPr>
            <w:tcW w:type="dxa" w:w="1884"/>
            <w:shd w:fill="FFFFFF"/>
            <w:tcMar>
              <w:top w:w="50" w:type="dxa"/>
              <w:bottom w:w="50" w:type="dxa"/>
              <w:left w:w="60" w:type="dxa"/>
              <w:right w:w="60" w:type="dxa"/>
            </w:tcMar>
          </w:tcPr>
          <w:p>
            <w:pPr>
              <w:jc w:val="left"/>
            </w:pPr>
            <w:r>
              <w:rPr>
                <w:rFonts w:ascii="Arial" w:hAnsi="Arial"/>
                <w:sz w:val="17"/>
              </w:rPr>
              <w:t>Fidelidad con la arquitectura del plano IE-01.</w:t>
            </w:r>
          </w:p>
        </w:tc>
      </w:tr>
      <w:tr>
        <w:tc>
          <w:tcPr>
            <w:tcW w:type="dxa" w:w="1884"/>
            <w:shd w:fill="F0F4F8"/>
            <w:tcMar>
              <w:top w:w="50" w:type="dxa"/>
              <w:bottom w:w="50" w:type="dxa"/>
              <w:left w:w="60" w:type="dxa"/>
              <w:right w:w="60" w:type="dxa"/>
            </w:tcMar>
          </w:tcPr>
          <w:p>
            <w:pPr>
              <w:jc w:val="center"/>
            </w:pPr>
            <w:r>
              <w:rPr>
                <w:rFonts w:ascii="Arial" w:hAnsi="Arial"/>
                <w:b/>
                <w:sz w:val="17"/>
              </w:rPr>
              <w:t>3</w:t>
            </w:r>
          </w:p>
        </w:tc>
        <w:tc>
          <w:tcPr>
            <w:tcW w:type="dxa" w:w="1884"/>
            <w:shd w:fill="F0F4F8"/>
            <w:tcMar>
              <w:top w:w="50" w:type="dxa"/>
              <w:bottom w:w="50" w:type="dxa"/>
              <w:left w:w="60" w:type="dxa"/>
              <w:right w:w="60" w:type="dxa"/>
            </w:tcMar>
          </w:tcPr>
          <w:p>
            <w:pPr>
              <w:jc w:val="left"/>
            </w:pPr>
            <w:r>
              <w:rPr>
                <w:rFonts w:ascii="Arial" w:hAnsi="Arial"/>
                <w:b/>
                <w:sz w:val="17"/>
              </w:rPr>
              <w:t>Protecciones Diferenciales</w:t>
            </w:r>
          </w:p>
        </w:tc>
        <w:tc>
          <w:tcPr>
            <w:tcW w:type="dxa" w:w="1884"/>
            <w:shd w:fill="F0F4F8"/>
            <w:tcMar>
              <w:top w:w="50" w:type="dxa"/>
              <w:bottom w:w="50" w:type="dxa"/>
              <w:left w:w="60" w:type="dxa"/>
              <w:right w:w="60" w:type="dxa"/>
            </w:tcMar>
          </w:tcPr>
          <w:p>
            <w:pPr>
              <w:jc w:val="left"/>
            </w:pPr>
            <w:r>
              <w:rPr>
                <w:rFonts w:ascii="Arial" w:hAnsi="Arial"/>
                <w:sz w:val="17"/>
              </w:rPr>
              <w:t>Excel omitía especificar diferenciales por circuito.</w:t>
            </w:r>
          </w:p>
        </w:tc>
        <w:tc>
          <w:tcPr>
            <w:tcW w:type="dxa" w:w="1884"/>
            <w:shd w:fill="F0F4F8"/>
            <w:tcMar>
              <w:top w:w="50" w:type="dxa"/>
              <w:bottom w:w="50" w:type="dxa"/>
              <w:left w:w="60" w:type="dxa"/>
              <w:right w:w="60" w:type="dxa"/>
            </w:tcMar>
          </w:tcPr>
          <w:p>
            <w:pPr>
              <w:jc w:val="left"/>
            </w:pPr>
            <w:r>
              <w:rPr>
                <w:rFonts w:ascii="Arial" w:hAnsi="Arial"/>
                <w:sz w:val="17"/>
              </w:rPr>
              <w:t>Se incorporó la exigencia de ID de 30 mA para C-1 a C-7.</w:t>
            </w:r>
          </w:p>
        </w:tc>
        <w:tc>
          <w:tcPr>
            <w:tcW w:type="dxa" w:w="1884"/>
            <w:shd w:fill="F0F4F8"/>
            <w:tcMar>
              <w:top w:w="50" w:type="dxa"/>
              <w:bottom w:w="50" w:type="dxa"/>
              <w:left w:w="60" w:type="dxa"/>
              <w:right w:w="60" w:type="dxa"/>
            </w:tcMar>
          </w:tcPr>
          <w:p>
            <w:pPr>
              <w:jc w:val="left"/>
            </w:pPr>
            <w:r>
              <w:rPr>
                <w:rFonts w:ascii="Arial" w:hAnsi="Arial"/>
                <w:sz w:val="17"/>
              </w:rPr>
              <w:t>CNE-Utilización Regla 020-204 obligatoria.</w:t>
            </w:r>
          </w:p>
        </w:tc>
      </w:tr>
      <w:tr>
        <w:tc>
          <w:tcPr>
            <w:tcW w:type="dxa" w:w="1884"/>
            <w:shd w:fill="FFFFFF"/>
            <w:tcMar>
              <w:top w:w="50" w:type="dxa"/>
              <w:bottom w:w="50" w:type="dxa"/>
              <w:left w:w="60" w:type="dxa"/>
              <w:right w:w="60" w:type="dxa"/>
            </w:tcMar>
          </w:tcPr>
          <w:p>
            <w:pPr>
              <w:jc w:val="center"/>
            </w:pPr>
            <w:r>
              <w:rPr>
                <w:rFonts w:ascii="Arial" w:hAnsi="Arial"/>
                <w:b/>
                <w:sz w:val="17"/>
              </w:rPr>
              <w:t>4</w:t>
            </w:r>
          </w:p>
        </w:tc>
        <w:tc>
          <w:tcPr>
            <w:tcW w:type="dxa" w:w="1884"/>
            <w:shd w:fill="FFFFFF"/>
            <w:tcMar>
              <w:top w:w="50" w:type="dxa"/>
              <w:bottom w:w="50" w:type="dxa"/>
              <w:left w:w="60" w:type="dxa"/>
              <w:right w:w="60" w:type="dxa"/>
            </w:tcMar>
          </w:tcPr>
          <w:p>
            <w:pPr>
              <w:jc w:val="left"/>
            </w:pPr>
            <w:r>
              <w:rPr>
                <w:rFonts w:ascii="Arial" w:hAnsi="Arial"/>
                <w:b/>
                <w:sz w:val="17"/>
              </w:rPr>
              <w:t>Tipo de Conductores</w:t>
            </w:r>
          </w:p>
        </w:tc>
        <w:tc>
          <w:tcPr>
            <w:tcW w:type="dxa" w:w="1884"/>
            <w:shd w:fill="FFFFFF"/>
            <w:tcMar>
              <w:top w:w="50" w:type="dxa"/>
              <w:bottom w:w="50" w:type="dxa"/>
              <w:left w:w="60" w:type="dxa"/>
              <w:right w:w="60" w:type="dxa"/>
            </w:tcMar>
          </w:tcPr>
          <w:p>
            <w:pPr>
              <w:jc w:val="left"/>
            </w:pPr>
            <w:r>
              <w:rPr>
                <w:rFonts w:ascii="Arial" w:hAnsi="Arial"/>
                <w:sz w:val="17"/>
              </w:rPr>
              <w:t>Word modelo mencionaba cable TW/THW tradicional.</w:t>
            </w:r>
          </w:p>
        </w:tc>
        <w:tc>
          <w:tcPr>
            <w:tcW w:type="dxa" w:w="1884"/>
            <w:shd w:fill="FFFFFF"/>
            <w:tcMar>
              <w:top w:w="50" w:type="dxa"/>
              <w:bottom w:w="50" w:type="dxa"/>
              <w:left w:w="60" w:type="dxa"/>
              <w:right w:w="60" w:type="dxa"/>
            </w:tcMar>
          </w:tcPr>
          <w:p>
            <w:pPr>
              <w:jc w:val="left"/>
            </w:pPr>
            <w:r>
              <w:rPr>
                <w:rFonts w:ascii="Arial" w:hAnsi="Arial"/>
                <w:sz w:val="17"/>
              </w:rPr>
              <w:t>Se especificó conductor ecológico Cero Halógenos NH-80 / N2XH.</w:t>
            </w:r>
          </w:p>
        </w:tc>
        <w:tc>
          <w:tcPr>
            <w:tcW w:type="dxa" w:w="1884"/>
            <w:shd w:fill="FFFFFF"/>
            <w:tcMar>
              <w:top w:w="50" w:type="dxa"/>
              <w:bottom w:w="50" w:type="dxa"/>
              <w:left w:w="60" w:type="dxa"/>
              <w:right w:w="60" w:type="dxa"/>
            </w:tcMar>
          </w:tcPr>
          <w:p>
            <w:pPr>
              <w:jc w:val="left"/>
            </w:pPr>
            <w:r>
              <w:rPr>
                <w:rFonts w:ascii="Arial" w:hAnsi="Arial"/>
                <w:sz w:val="17"/>
              </w:rPr>
              <w:t>CNE-Utilización 020-028 y RNE EM.010.</w:t>
            </w:r>
          </w:p>
        </w:tc>
      </w:tr>
      <w:tr>
        <w:tc>
          <w:tcPr>
            <w:tcW w:type="dxa" w:w="1884"/>
            <w:shd w:fill="F0F4F8"/>
            <w:tcMar>
              <w:top w:w="50" w:type="dxa"/>
              <w:bottom w:w="50" w:type="dxa"/>
              <w:left w:w="60" w:type="dxa"/>
              <w:right w:w="60" w:type="dxa"/>
            </w:tcMar>
          </w:tcPr>
          <w:p>
            <w:pPr>
              <w:jc w:val="center"/>
            </w:pPr>
            <w:r>
              <w:rPr>
                <w:rFonts w:ascii="Arial" w:hAnsi="Arial"/>
                <w:b/>
                <w:sz w:val="17"/>
              </w:rPr>
              <w:t>5</w:t>
            </w:r>
          </w:p>
        </w:tc>
        <w:tc>
          <w:tcPr>
            <w:tcW w:type="dxa" w:w="1884"/>
            <w:shd w:fill="F0F4F8"/>
            <w:tcMar>
              <w:top w:w="50" w:type="dxa"/>
              <w:bottom w:w="50" w:type="dxa"/>
              <w:left w:w="60" w:type="dxa"/>
              <w:right w:w="60" w:type="dxa"/>
            </w:tcMar>
          </w:tcPr>
          <w:p>
            <w:pPr>
              <w:jc w:val="left"/>
            </w:pPr>
            <w:r>
              <w:rPr>
                <w:rFonts w:ascii="Arial" w:hAnsi="Arial"/>
                <w:b/>
                <w:sz w:val="17"/>
              </w:rPr>
              <w:t>Capacidad del Tablero</w:t>
            </w:r>
          </w:p>
        </w:tc>
        <w:tc>
          <w:tcPr>
            <w:tcW w:type="dxa" w:w="1884"/>
            <w:shd w:fill="F0F4F8"/>
            <w:tcMar>
              <w:top w:w="50" w:type="dxa"/>
              <w:bottom w:w="50" w:type="dxa"/>
              <w:left w:w="60" w:type="dxa"/>
              <w:right w:w="60" w:type="dxa"/>
            </w:tcMar>
          </w:tcPr>
          <w:p>
            <w:pPr>
              <w:jc w:val="left"/>
            </w:pPr>
            <w:r>
              <w:rPr>
                <w:rFonts w:ascii="Arial" w:hAnsi="Arial"/>
                <w:sz w:val="17"/>
              </w:rPr>
              <w:t>Excel recomendaba 24 polos (saturado).</w:t>
            </w:r>
          </w:p>
        </w:tc>
        <w:tc>
          <w:tcPr>
            <w:tcW w:type="dxa" w:w="1884"/>
            <w:shd w:fill="F0F4F8"/>
            <w:tcMar>
              <w:top w:w="50" w:type="dxa"/>
              <w:bottom w:w="50" w:type="dxa"/>
              <w:left w:w="60" w:type="dxa"/>
              <w:right w:w="60" w:type="dxa"/>
            </w:tcMar>
          </w:tcPr>
          <w:p>
            <w:pPr>
              <w:jc w:val="left"/>
            </w:pPr>
            <w:r>
              <w:rPr>
                <w:rFonts w:ascii="Arial" w:hAnsi="Arial"/>
                <w:sz w:val="17"/>
              </w:rPr>
              <w:t>Se amplió a Tablero General de 36 Polos trifásico.</w:t>
            </w:r>
          </w:p>
        </w:tc>
        <w:tc>
          <w:tcPr>
            <w:tcW w:type="dxa" w:w="1884"/>
            <w:shd w:fill="F0F4F8"/>
            <w:tcMar>
              <w:top w:w="50" w:type="dxa"/>
              <w:bottom w:w="50" w:type="dxa"/>
              <w:left w:w="60" w:type="dxa"/>
              <w:right w:w="60" w:type="dxa"/>
            </w:tcMar>
          </w:tcPr>
          <w:p>
            <w:pPr>
              <w:jc w:val="left"/>
            </w:pPr>
            <w:r>
              <w:rPr>
                <w:rFonts w:ascii="Arial" w:hAnsi="Arial"/>
                <w:sz w:val="17"/>
              </w:rPr>
              <w:t>CNE-U Regla 080-400 (Reserva mínima 20%).</w:t>
            </w:r>
          </w:p>
        </w:tc>
      </w:tr>
    </w:tbl>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