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keepNext w:val="true"/>
        <w:spacing w:before="360" w:after="120"/>
        <w:rPr>
          <w:lang w:val="es-EC" w:eastAsia="zh-CN" w:bidi="hi-IN"/>
        </w:rPr>
      </w:pPr>
      <w:r>
        <w:rPr>
          <w:lang w:val="es-EC" w:eastAsia="zh-CN" w:bidi="hi-IN"/>
        </w:rPr>
        <w:t>Documentación técnica del sistema SAA — Requerimiento de auditoría</w:t>
      </w:r>
    </w:p>
    <w:p>
      <w:pPr>
        <w:pStyle w:val="Heading2"/>
        <w:rPr>
          <w:lang w:val="es-EC" w:eastAsia="zh-CN" w:bidi="hi-IN"/>
        </w:rPr>
      </w:pPr>
      <w:r>
        <w:rPr>
          <w:lang w:val="es-EC" w:eastAsia="zh-CN" w:bidi="hi-IN"/>
        </w:rPr>
        <w:t>Presentación</w:t>
      </w:r>
    </w:p>
    <w:p>
      <w:pPr>
        <w:pStyle w:val="Normal"/>
        <w:rPr>
          <w:lang w:val="es-EC" w:eastAsia="zh-CN" w:bidi="hi-IN"/>
        </w:rPr>
      </w:pPr>
      <w:r>
        <w:rPr>
          <w:lang w:val="es-EC" w:eastAsia="zh-CN" w:bidi="hi-IN"/>
        </w:rPr>
        <w:t xml:space="preserve">Este documento atiende los numerales 2, 5, 6, 7 y 10 del requerimiento de la auditoría sobre el </w:t>
      </w:r>
      <w:r>
        <w:rPr>
          <w:b/>
          <w:lang w:val="es-EC" w:eastAsia="zh-CN" w:bidi="hi-IN"/>
        </w:rPr>
        <w:t>Sistema de Administración ASOPREP (SAA)</w:t>
      </w:r>
      <w:r>
        <w:rPr>
          <w:lang w:val="es-EC" w:eastAsia="zh-CN" w:bidi="hi-IN"/>
        </w:rPr>
        <w:t xml:space="preserve"> de ASOPREP-FCPC: inventario de equipamiento, arquitectura tecnológica por ambiente, arquitectura del sistema, inventario de módulos y listados de usuarios.</w:t>
      </w:r>
    </w:p>
    <w:tbl>
      <w:tblPr>
        <w:tblStyle w:val="TableGrid"/>
        <w:tblW w:w="9359" w:type="dxa"/>
        <w:jc w:val="left"/>
        <w:tblInd w:w="0" w:type="dxa"/>
        <w:tblLayout w:type="fixed"/>
        <w:tblCellMar>
          <w:top w:w="0" w:type="dxa"/>
          <w:left w:w="108" w:type="dxa"/>
          <w:bottom w:w="0" w:type="dxa"/>
          <w:right w:w="108" w:type="dxa"/>
        </w:tblCellMar>
        <w:tblLook w:val="0420" w:firstRow="1" w:noVBand="1" w:lastRow="0" w:firstColumn="0" w:lastColumn="0" w:noHBand="0"/>
      </w:tblPr>
      <w:tblGrid>
        <w:gridCol w:w="7675"/>
        <w:gridCol w:w="1684"/>
      </w:tblGrid>
      <w:tr>
        <w:trPr>
          <w:tblHeader w:val="true"/>
        </w:trPr>
        <w:tc>
          <w:tcPr>
            <w:tcW w:w="7675" w:type="dxa"/>
            <w:tcBorders/>
            <w:shd w:color="auto" w:fill="F2F2F2" w:val="clear"/>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Requerimiento</w:t>
            </w:r>
          </w:p>
        </w:tc>
        <w:tc>
          <w:tcPr>
            <w:tcW w:w="1684" w:type="dxa"/>
            <w:tcBorders/>
            <w:shd w:color="auto" w:fill="F2F2F2" w:val="clear"/>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Numeral</w:t>
            </w:r>
          </w:p>
        </w:tc>
      </w:tr>
      <w:tr>
        <w:trPr/>
        <w:tc>
          <w:tcPr>
            <w:tcW w:w="7675"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Inventario del equipamiento tecnológico de producción, desarrollo y pruebas</w:t>
            </w:r>
          </w:p>
        </w:tc>
        <w:tc>
          <w:tcPr>
            <w:tcW w:w="1684"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2</w:t>
            </w:r>
          </w:p>
        </w:tc>
      </w:tr>
      <w:tr>
        <w:trPr/>
        <w:tc>
          <w:tcPr>
            <w:tcW w:w="7675"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Arquitectura tecnológica de la entidad de los ambientes de producción, desarrollo y pruebas</w:t>
            </w:r>
          </w:p>
        </w:tc>
        <w:tc>
          <w:tcPr>
            <w:tcW w:w="1684"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5</w:t>
            </w:r>
          </w:p>
        </w:tc>
      </w:tr>
      <w:tr>
        <w:trPr/>
        <w:tc>
          <w:tcPr>
            <w:tcW w:w="7675"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Arquitectura del sistema SAA</w:t>
            </w:r>
          </w:p>
        </w:tc>
        <w:tc>
          <w:tcPr>
            <w:tcW w:w="1684"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6</w:t>
            </w:r>
          </w:p>
        </w:tc>
      </w:tr>
      <w:tr>
        <w:trPr/>
        <w:tc>
          <w:tcPr>
            <w:tcW w:w="7675"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Inventario de módulos implementados en el sistema SAA</w:t>
            </w:r>
          </w:p>
        </w:tc>
        <w:tc>
          <w:tcPr>
            <w:tcW w:w="1684"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7</w:t>
            </w:r>
          </w:p>
        </w:tc>
      </w:tr>
      <w:tr>
        <w:trPr/>
        <w:tc>
          <w:tcPr>
            <w:tcW w:w="7675"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Listados de usuarios configurados para bases de datos, servidores y aplicación SAA</w:t>
            </w:r>
          </w:p>
        </w:tc>
        <w:tc>
          <w:tcPr>
            <w:tcW w:w="1684"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10</w:t>
            </w:r>
          </w:p>
        </w:tc>
      </w:tr>
    </w:tbl>
    <w:p>
      <w:pPr>
        <w:pStyle w:val="Normal"/>
        <w:rPr>
          <w:lang w:val="es-EC" w:eastAsia="zh-CN" w:bidi="hi-IN"/>
        </w:rPr>
      </w:pPr>
      <w:r>
        <w:rPr>
          <w:b/>
          <w:lang w:val="es-EC" w:eastAsia="zh-CN" w:bidi="hi-IN"/>
        </w:rPr>
        <w:t>Fuentes.</w:t>
      </w:r>
      <w:r>
        <w:rPr>
          <w:lang w:val="es-EC" w:eastAsia="zh-CN" w:bidi="hi-IN"/>
        </w:rPr>
        <w:t xml:space="preserve"> Lo técnico del sistema (componentes, versiones, módulos, cifras, modelo de seguridad) se midió sobre el código fuente en producción al 24 de octubre de 2026. Los datos de los servidores, sus bases de datos y sus usuarios se levantaron en cada servidor.</w:t>
      </w:r>
    </w:p>
    <w:p>
      <w:pPr>
        <w:pStyle w:val="Heading2"/>
        <w:rPr>
          <w:lang w:val="es-EC" w:eastAsia="zh-CN" w:bidi="hi-IN"/>
        </w:rPr>
      </w:pPr>
      <w:r>
        <w:rPr>
          <w:lang w:val="es-EC" w:eastAsia="zh-CN" w:bidi="hi-IN"/>
        </w:rPr>
        <w:t>2. Inventario del equipamiento tecnológicos de los ambientes de producción, desarrollo y pruebas, respecto de servidores, equipos de comunicaciones y seguridad que incluya: Nombre del servidor, marca, modelo, principales características (procesador, memoria, disco, redundancia, según aplique), software base (nombre y versión), contrato de mantenimiento</w:t>
      </w:r>
    </w:p>
    <w:p>
      <w:pPr>
        <w:pStyle w:val="Normal"/>
        <w:rPr/>
      </w:pPr>
      <w:r>
        <w:rPr>
          <w:lang w:val="es-EC" w:eastAsia="zh-CN" w:bidi="hi-IN"/>
        </w:rPr>
        <w:t xml:space="preserve">El SAA corre en </w:t>
      </w:r>
      <w:r>
        <w:rPr>
          <w:b/>
          <w:lang w:val="es-EC" w:eastAsia="zh-CN" w:bidi="hi-IN"/>
        </w:rPr>
        <w:t>dos servidores físicos Dell PowerEdge R360 de la entidad</w:t>
      </w:r>
      <w:r>
        <w:rPr>
          <w:lang w:val="es-EC" w:eastAsia="zh-CN" w:bidi="hi-IN"/>
        </w:rPr>
        <w:t xml:space="preserve">, iguales en hardware, en la red interna 192.168.2.0/24 y unidos al dominio </w:t>
      </w:r>
      <w:r>
        <w:rPr>
          <w:rStyle w:val="CodeChar"/>
          <w:lang w:val="es-EC" w:eastAsia="zh-CN" w:bidi="hi-IN"/>
        </w:rPr>
        <w:t>asoprep.com.ec</w:t>
      </w:r>
      <w:r>
        <w:rPr>
          <w:lang w:val="es-EC" w:eastAsia="zh-CN" w:bidi="hi-IN"/>
        </w:rPr>
        <w:t xml:space="preserve">. </w:t>
      </w:r>
      <w:r>
        <w:rPr>
          <w:b/>
          <w:lang w:val="es-EC" w:eastAsia="zh-CN" w:bidi="hi-IN"/>
        </w:rPr>
        <w:t>SRVDEV2</w:t>
      </w:r>
      <w:r>
        <w:rPr>
          <w:lang w:val="es-EC" w:eastAsia="zh-CN" w:bidi="hi-IN"/>
        </w:rPr>
        <w:t xml:space="preserve"> (192.168.2.4) es producción y aloja también una copia de pruebas aislada («ASOPREP CUADRE»). </w:t>
      </w:r>
      <w:r>
        <w:rPr>
          <w:b/>
          <w:lang w:val="es-EC" w:eastAsia="zh-CN" w:bidi="hi-IN"/>
        </w:rPr>
        <w:t>SRVDEV1</w:t>
      </w:r>
      <w:r>
        <w:rPr>
          <w:lang w:val="es-EC" w:eastAsia="zh-CN" w:bidi="hi-IN"/>
        </w:rPr>
        <w:t xml:space="preserve"> (192.168.2.3) es el servidor de pruebas y publica la capa de la aplicación móvil. </w:t>
      </w:r>
    </w:p>
    <w:p>
      <w:pPr>
        <w:pStyle w:val="Heading3"/>
        <w:rPr>
          <w:lang w:val="es-EC" w:eastAsia="zh-CN" w:bidi="hi-IN"/>
        </w:rPr>
      </w:pPr>
      <w:r>
        <w:rPr>
          <w:lang w:val="es-EC" w:eastAsia="zh-CN" w:bidi="hi-IN"/>
        </w:rPr>
        <w:t>2.1. Servidores</w:t>
      </w:r>
    </w:p>
    <w:p>
      <w:pPr>
        <w:pStyle w:val="Heading4"/>
        <w:rPr>
          <w:lang w:val="es-EC" w:eastAsia="zh-CN" w:bidi="hi-IN"/>
        </w:rPr>
      </w:pPr>
      <w:r>
        <w:rPr>
          <w:lang w:val="es-EC" w:eastAsia="zh-CN" w:bidi="hi-IN"/>
        </w:rPr>
        <w:t>Servidor de producción — SRVDEV2 (192.168.2.4)</w:t>
      </w:r>
    </w:p>
    <w:tbl>
      <w:tblPr>
        <w:tblStyle w:val="TableGrid"/>
        <w:tblW w:w="9359" w:type="dxa"/>
        <w:jc w:val="left"/>
        <w:tblInd w:w="0" w:type="dxa"/>
        <w:tblLayout w:type="fixed"/>
        <w:tblCellMar>
          <w:top w:w="0" w:type="dxa"/>
          <w:left w:w="108" w:type="dxa"/>
          <w:bottom w:w="0" w:type="dxa"/>
          <w:right w:w="108" w:type="dxa"/>
        </w:tblCellMar>
        <w:tblLook w:val="0420" w:firstRow="1" w:noVBand="1" w:lastRow="0" w:firstColumn="0" w:lastColumn="0" w:noHBand="0"/>
      </w:tblPr>
      <w:tblGrid>
        <w:gridCol w:w="4274"/>
        <w:gridCol w:w="5085"/>
      </w:tblGrid>
      <w:tr>
        <w:trPr>
          <w:tblHeader w:val="true"/>
        </w:trPr>
        <w:tc>
          <w:tcPr>
            <w:tcW w:w="4274" w:type="dxa"/>
            <w:tcBorders/>
            <w:shd w:color="auto" w:fill="F2F2F2" w:val="clear"/>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Campo</w:t>
            </w:r>
          </w:p>
        </w:tc>
        <w:tc>
          <w:tcPr>
            <w:tcW w:w="5085" w:type="dxa"/>
            <w:tcBorders/>
            <w:shd w:color="auto" w:fill="F2F2F2" w:val="clear"/>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Dato</w:t>
            </w:r>
          </w:p>
        </w:tc>
      </w:tr>
      <w:tr>
        <w:trPr/>
        <w:tc>
          <w:tcPr>
            <w:tcW w:w="4274"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Nombre del servidor</w:t>
            </w:r>
          </w:p>
        </w:tc>
        <w:tc>
          <w:tcPr>
            <w:tcW w:w="5085"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SRVDEV2</w:t>
            </w:r>
          </w:p>
        </w:tc>
      </w:tr>
      <w:tr>
        <w:trPr/>
        <w:tc>
          <w:tcPr>
            <w:tcW w:w="4274"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Dirección IP</w:t>
            </w:r>
          </w:p>
        </w:tc>
        <w:tc>
          <w:tcPr>
            <w:tcW w:w="5085"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192.168.2.4 (puerta de enlace 192.168.2.1, DNS 192.168.2.5)</w:t>
            </w:r>
          </w:p>
        </w:tc>
      </w:tr>
      <w:tr>
        <w:trPr/>
        <w:tc>
          <w:tcPr>
            <w:tcW w:w="4274"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Dominio</w:t>
            </w:r>
          </w:p>
        </w:tc>
        <w:tc>
          <w:tcPr>
            <w:tcW w:w="5085"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asoprep.com.ec</w:t>
            </w:r>
          </w:p>
        </w:tc>
      </w:tr>
      <w:tr>
        <w:trPr/>
        <w:tc>
          <w:tcPr>
            <w:tcW w:w="4274"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Ambiente</w:t>
            </w:r>
          </w:p>
        </w:tc>
        <w:tc>
          <w:tcPr>
            <w:tcW w:w="5085"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Producción; aloja también la copia de pruebas aislada «ASOPREP CUADRE»</w:t>
            </w:r>
          </w:p>
        </w:tc>
      </w:tr>
      <w:tr>
        <w:trPr/>
        <w:tc>
          <w:tcPr>
            <w:tcW w:w="4274"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Marca y modelo</w:t>
            </w:r>
          </w:p>
        </w:tc>
        <w:tc>
          <w:tcPr>
            <w:tcW w:w="5085"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Dell PowerEdge R360</w:t>
            </w:r>
          </w:p>
        </w:tc>
      </w:tr>
      <w:tr>
        <w:trPr/>
        <w:tc>
          <w:tcPr>
            <w:tcW w:w="4274"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Número de serie (Service Tag)</w:t>
            </w:r>
          </w:p>
        </w:tc>
        <w:tc>
          <w:tcPr>
            <w:tcW w:w="5085"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B9RJXB4</w:t>
            </w:r>
          </w:p>
        </w:tc>
      </w:tr>
      <w:tr>
        <w:trPr/>
        <w:tc>
          <w:tcPr>
            <w:tcW w:w="4274"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BIOS</w:t>
            </w:r>
          </w:p>
        </w:tc>
        <w:tc>
          <w:tcPr>
            <w:tcW w:w="5085"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2.2.1</w:t>
            </w:r>
          </w:p>
        </w:tc>
      </w:tr>
      <w:tr>
        <w:trPr/>
        <w:tc>
          <w:tcPr>
            <w:tcW w:w="4274"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Procesador</w:t>
            </w:r>
          </w:p>
        </w:tc>
        <w:tc>
          <w:tcPr>
            <w:tcW w:w="5085"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Intel Xeon 6353P, 8 núcleos / 16 hilos, 2,69 GHz</w:t>
            </w:r>
          </w:p>
        </w:tc>
      </w:tr>
      <w:tr>
        <w:trPr/>
        <w:tc>
          <w:tcPr>
            <w:tcW w:w="4274"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Memoria</w:t>
            </w:r>
          </w:p>
        </w:tc>
        <w:tc>
          <w:tcPr>
            <w:tcW w:w="5085"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32 GB DDR5 5600: un módulo de 32 GB; 4 ranuras, 3 libres ¹</w:t>
            </w:r>
          </w:p>
        </w:tc>
      </w:tr>
      <w:tr>
        <w:trPr/>
        <w:tc>
          <w:tcPr>
            <w:tcW w:w="4274"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Controladora de discos</w:t>
            </w:r>
          </w:p>
        </w:tc>
        <w:tc>
          <w:tcPr>
            <w:tcW w:w="5085"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Dell PERC H355 Front (RAID por hardware)</w:t>
            </w:r>
          </w:p>
        </w:tc>
      </w:tr>
      <w:tr>
        <w:trPr/>
        <w:tc>
          <w:tcPr>
            <w:tcW w:w="4274"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Disco</w:t>
            </w:r>
          </w:p>
        </w:tc>
        <w:tc>
          <w:tcPr>
            <w:tcW w:w="5085"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Un disco virtual RAID de 1.862 GB: C: sistema, 249 GB (170 GB libres); D: datos, 1.612 GB (1.169 GB libres)</w:t>
            </w:r>
          </w:p>
        </w:tc>
      </w:tr>
      <w:tr>
        <w:trPr/>
        <w:tc>
          <w:tcPr>
            <w:tcW w:w="4274"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Red</w:t>
            </w:r>
          </w:p>
        </w:tc>
        <w:tc>
          <w:tcPr>
            <w:tcW w:w="5085"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2 puertos Broadcom NetXtreme de 1 Gbps, uno conectado</w:t>
            </w:r>
          </w:p>
        </w:tc>
      </w:tr>
      <w:tr>
        <w:trPr/>
        <w:tc>
          <w:tcPr>
            <w:tcW w:w="4274"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Sistema operativo</w:t>
            </w:r>
          </w:p>
        </w:tc>
        <w:tc>
          <w:tcPr>
            <w:tcW w:w="5085"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Windows Server 2025 Standard (10.0.26100), instalado el 9-oct-2025</w:t>
            </w:r>
          </w:p>
        </w:tc>
      </w:tr>
      <w:tr>
        <w:trPr/>
        <w:tc>
          <w:tcPr>
            <w:tcW w:w="4274"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Últimas actualizaciones de Windows</w:t>
            </w:r>
          </w:p>
        </w:tc>
        <w:tc>
          <w:tcPr>
            <w:tcW w:w="5085"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Julio de 2026</w:t>
            </w:r>
          </w:p>
        </w:tc>
      </w:tr>
      <w:tr>
        <w:trPr/>
        <w:tc>
          <w:tcPr>
            <w:tcW w:w="4274"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Software base</w:t>
            </w:r>
          </w:p>
        </w:tc>
        <w:tc>
          <w:tcPr>
            <w:tcW w:w="5085"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Ver 2.2</w:t>
            </w:r>
          </w:p>
        </w:tc>
      </w:tr>
    </w:tbl>
    <w:p>
      <w:pPr>
        <w:pStyle w:val="Heading4"/>
        <w:rPr>
          <w:lang w:val="es-EC" w:eastAsia="zh-CN" w:bidi="hi-IN"/>
        </w:rPr>
      </w:pPr>
      <w:r>
        <w:rPr>
          <w:lang w:val="es-EC" w:eastAsia="zh-CN" w:bidi="hi-IN"/>
        </w:rPr>
        <w:t>Servidor de pruebas — SRVDEV1 (192.168.2.3)</w:t>
      </w:r>
    </w:p>
    <w:tbl>
      <w:tblPr>
        <w:tblStyle w:val="TableGrid"/>
        <w:tblW w:w="9359" w:type="dxa"/>
        <w:jc w:val="left"/>
        <w:tblInd w:w="0" w:type="dxa"/>
        <w:tblLayout w:type="fixed"/>
        <w:tblCellMar>
          <w:top w:w="0" w:type="dxa"/>
          <w:left w:w="108" w:type="dxa"/>
          <w:bottom w:w="0" w:type="dxa"/>
          <w:right w:w="108" w:type="dxa"/>
        </w:tblCellMar>
        <w:tblLook w:val="0420" w:firstRow="1" w:noVBand="1" w:lastRow="0" w:firstColumn="0" w:lastColumn="0" w:noHBand="0"/>
      </w:tblPr>
      <w:tblGrid>
        <w:gridCol w:w="4274"/>
        <w:gridCol w:w="5085"/>
      </w:tblGrid>
      <w:tr>
        <w:trPr>
          <w:tblHeader w:val="true"/>
        </w:trPr>
        <w:tc>
          <w:tcPr>
            <w:tcW w:w="4274" w:type="dxa"/>
            <w:tcBorders/>
            <w:shd w:color="auto" w:fill="F2F2F2" w:val="clear"/>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Campo</w:t>
            </w:r>
          </w:p>
        </w:tc>
        <w:tc>
          <w:tcPr>
            <w:tcW w:w="5085" w:type="dxa"/>
            <w:tcBorders/>
            <w:shd w:color="auto" w:fill="F2F2F2" w:val="clear"/>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Dato</w:t>
            </w:r>
          </w:p>
        </w:tc>
      </w:tr>
      <w:tr>
        <w:trPr/>
        <w:tc>
          <w:tcPr>
            <w:tcW w:w="4274"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Nombre del servidor</w:t>
            </w:r>
          </w:p>
        </w:tc>
        <w:tc>
          <w:tcPr>
            <w:tcW w:w="5085"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SRVDEV1</w:t>
            </w:r>
          </w:p>
        </w:tc>
      </w:tr>
      <w:tr>
        <w:trPr/>
        <w:tc>
          <w:tcPr>
            <w:tcW w:w="4274"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Dirección IP</w:t>
            </w:r>
          </w:p>
        </w:tc>
        <w:tc>
          <w:tcPr>
            <w:tcW w:w="5085"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192.168.2.3 (puerta de enlace 192.168.2.1, DNS 192.168.2.5)</w:t>
            </w:r>
          </w:p>
        </w:tc>
      </w:tr>
      <w:tr>
        <w:trPr/>
        <w:tc>
          <w:tcPr>
            <w:tcW w:w="4274"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Dominio</w:t>
            </w:r>
          </w:p>
        </w:tc>
        <w:tc>
          <w:tcPr>
            <w:tcW w:w="5085"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asoprep.com.ec</w:t>
            </w:r>
          </w:p>
        </w:tc>
      </w:tr>
      <w:tr>
        <w:trPr/>
        <w:tc>
          <w:tcPr>
            <w:tcW w:w="4274"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Ambiente</w:t>
            </w:r>
          </w:p>
        </w:tc>
        <w:tc>
          <w:tcPr>
            <w:tcW w:w="5085"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Pruebas; publica la capa de la aplicación móvil</w:t>
            </w:r>
          </w:p>
        </w:tc>
      </w:tr>
      <w:tr>
        <w:trPr/>
        <w:tc>
          <w:tcPr>
            <w:tcW w:w="4274"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Marca y modelo</w:t>
            </w:r>
          </w:p>
        </w:tc>
        <w:tc>
          <w:tcPr>
            <w:tcW w:w="5085"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Dell PowerEdge R360</w:t>
            </w:r>
          </w:p>
        </w:tc>
      </w:tr>
      <w:tr>
        <w:trPr/>
        <w:tc>
          <w:tcPr>
            <w:tcW w:w="4274"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Número de serie (Service Tag)</w:t>
            </w:r>
          </w:p>
        </w:tc>
        <w:tc>
          <w:tcPr>
            <w:tcW w:w="5085"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C9RJXB4</w:t>
            </w:r>
          </w:p>
        </w:tc>
      </w:tr>
      <w:tr>
        <w:trPr/>
        <w:tc>
          <w:tcPr>
            <w:tcW w:w="4274"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BIOS</w:t>
            </w:r>
          </w:p>
        </w:tc>
        <w:tc>
          <w:tcPr>
            <w:tcW w:w="5085"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2.2.1</w:t>
            </w:r>
          </w:p>
        </w:tc>
      </w:tr>
      <w:tr>
        <w:trPr/>
        <w:tc>
          <w:tcPr>
            <w:tcW w:w="4274"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Procesador</w:t>
            </w:r>
          </w:p>
        </w:tc>
        <w:tc>
          <w:tcPr>
            <w:tcW w:w="5085"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Intel Xeon 6353P, 8 núcleos / 16 hilos, 2,69 GHz</w:t>
            </w:r>
          </w:p>
        </w:tc>
      </w:tr>
      <w:tr>
        <w:trPr/>
        <w:tc>
          <w:tcPr>
            <w:tcW w:w="4274"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Memoria</w:t>
            </w:r>
          </w:p>
        </w:tc>
        <w:tc>
          <w:tcPr>
            <w:tcW w:w="5085"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32 GB DDR5 5600: dos módulos de 16 GB; 4 ranuras, 2 libres ¹</w:t>
            </w:r>
          </w:p>
        </w:tc>
      </w:tr>
      <w:tr>
        <w:trPr/>
        <w:tc>
          <w:tcPr>
            <w:tcW w:w="4274"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Controladora de discos</w:t>
            </w:r>
          </w:p>
        </w:tc>
        <w:tc>
          <w:tcPr>
            <w:tcW w:w="5085"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Dell PERC H355 Front (RAID por hardware)</w:t>
            </w:r>
          </w:p>
        </w:tc>
      </w:tr>
      <w:tr>
        <w:trPr/>
        <w:tc>
          <w:tcPr>
            <w:tcW w:w="4274"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Disco</w:t>
            </w:r>
          </w:p>
        </w:tc>
        <w:tc>
          <w:tcPr>
            <w:tcW w:w="5085"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Un disco virtual RAID de 1.862 GB: C: sistema, 249 GB (159 GB libres); D: datos, 1.612 GB (1.593 GB libres)</w:t>
            </w:r>
          </w:p>
        </w:tc>
      </w:tr>
      <w:tr>
        <w:trPr/>
        <w:tc>
          <w:tcPr>
            <w:tcW w:w="4274"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Red</w:t>
            </w:r>
          </w:p>
        </w:tc>
        <w:tc>
          <w:tcPr>
            <w:tcW w:w="5085"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2 puertos Broadcom NetXtreme de 1 Gbps, uno conectado</w:t>
            </w:r>
          </w:p>
        </w:tc>
      </w:tr>
      <w:tr>
        <w:trPr/>
        <w:tc>
          <w:tcPr>
            <w:tcW w:w="4274"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Sistema operativo</w:t>
            </w:r>
          </w:p>
        </w:tc>
        <w:tc>
          <w:tcPr>
            <w:tcW w:w="5085"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Windows Server 2025 Standard (10.0.26100), instalado el 10-oct-2025</w:t>
            </w:r>
          </w:p>
        </w:tc>
      </w:tr>
      <w:tr>
        <w:trPr/>
        <w:tc>
          <w:tcPr>
            <w:tcW w:w="4274"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Últimas actualizaciones de Windows</w:t>
            </w:r>
          </w:p>
        </w:tc>
        <w:tc>
          <w:tcPr>
            <w:tcW w:w="5085"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1 de septiembre de 2026</w:t>
            </w:r>
          </w:p>
        </w:tc>
      </w:tr>
      <w:tr>
        <w:trPr/>
        <w:tc>
          <w:tcPr>
            <w:tcW w:w="4274"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Software base</w:t>
            </w:r>
          </w:p>
        </w:tc>
        <w:tc>
          <w:tcPr>
            <w:tcW w:w="5085"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Ver 2.2</w:t>
            </w:r>
          </w:p>
        </w:tc>
      </w:tr>
    </w:tbl>
    <w:p>
      <w:pPr>
        <w:pStyle w:val="Normal"/>
        <w:rPr>
          <w:lang w:val="es-EC" w:eastAsia="zh-CN" w:bidi="hi-IN"/>
        </w:rPr>
      </w:pPr>
      <w:r>
        <w:rPr>
          <w:lang w:val="es-EC" w:eastAsia="zh-CN" w:bidi="hi-IN"/>
        </w:rPr>
        <w:t xml:space="preserve">¹ </w:t>
      </w:r>
      <w:r>
        <w:rPr>
          <w:lang w:val="es-EC" w:eastAsia="zh-CN" w:bidi="hi-IN"/>
        </w:rPr>
        <w:t>Memoria ampliada de los 16 GB de fábrica a 32 GB.</w:t>
      </w:r>
    </w:p>
    <w:p>
      <w:pPr>
        <w:pStyle w:val="Heading3"/>
        <w:rPr>
          <w:lang w:val="es-EC" w:eastAsia="zh-CN" w:bidi="hi-IN"/>
        </w:rPr>
      </w:pPr>
      <w:r>
        <w:rPr>
          <w:lang w:val="es-EC" w:eastAsia="zh-CN" w:bidi="hi-IN"/>
        </w:rPr>
        <w:t>2.2. Software base por servidor</w:t>
      </w:r>
    </w:p>
    <w:p>
      <w:pPr>
        <w:pStyle w:val="Heading4"/>
        <w:rPr>
          <w:lang w:val="es-EC" w:eastAsia="zh-CN" w:bidi="hi-IN"/>
        </w:rPr>
      </w:pPr>
      <w:r>
        <w:rPr>
          <w:lang w:val="es-EC" w:eastAsia="zh-CN" w:bidi="hi-IN"/>
        </w:rPr>
        <w:t>SRVDEV2 (producción)</w:t>
      </w:r>
    </w:p>
    <w:tbl>
      <w:tblPr>
        <w:tblStyle w:val="TableGrid"/>
        <w:tblW w:w="9360" w:type="dxa"/>
        <w:jc w:val="left"/>
        <w:tblInd w:w="0" w:type="dxa"/>
        <w:tblLayout w:type="fixed"/>
        <w:tblCellMar>
          <w:top w:w="0" w:type="dxa"/>
          <w:left w:w="108" w:type="dxa"/>
          <w:bottom w:w="0" w:type="dxa"/>
          <w:right w:w="108" w:type="dxa"/>
        </w:tblCellMar>
        <w:tblLook w:val="0420" w:firstRow="1" w:noVBand="1" w:lastRow="0" w:firstColumn="0" w:lastColumn="0" w:noHBand="0"/>
      </w:tblPr>
      <w:tblGrid>
        <w:gridCol w:w="3037"/>
        <w:gridCol w:w="2100"/>
        <w:gridCol w:w="4223"/>
      </w:tblGrid>
      <w:tr>
        <w:trPr>
          <w:tblHeader w:val="true"/>
        </w:trPr>
        <w:tc>
          <w:tcPr>
            <w:tcW w:w="3037" w:type="dxa"/>
            <w:tcBorders/>
            <w:shd w:color="auto" w:fill="F2F2F2" w:val="clear"/>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Software</w:t>
            </w:r>
          </w:p>
        </w:tc>
        <w:tc>
          <w:tcPr>
            <w:tcW w:w="2100" w:type="dxa"/>
            <w:tcBorders/>
            <w:shd w:color="auto" w:fill="F2F2F2" w:val="clear"/>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Versión</w:t>
            </w:r>
          </w:p>
        </w:tc>
        <w:tc>
          <w:tcPr>
            <w:tcW w:w="4223" w:type="dxa"/>
            <w:tcBorders/>
            <w:shd w:color="auto" w:fill="F2F2F2" w:val="clear"/>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Uso</w:t>
            </w:r>
          </w:p>
        </w:tc>
      </w:tr>
      <w:tr>
        <w:trPr/>
        <w:tc>
          <w:tcPr>
            <w:tcW w:w="3037"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Windows Server Standard</w:t>
            </w:r>
          </w:p>
        </w:tc>
        <w:tc>
          <w:tcPr>
            <w:tcW w:w="2100"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2025 (10.0.26100), licencia OEM activada</w:t>
            </w:r>
          </w:p>
        </w:tc>
        <w:tc>
          <w:tcPr>
            <w:tcW w:w="4223"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Sistema operativo</w:t>
            </w:r>
          </w:p>
        </w:tc>
      </w:tr>
      <w:tr>
        <w:trPr/>
        <w:tc>
          <w:tcPr>
            <w:tcW w:w="3037"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Docker Desktop</w:t>
            </w:r>
          </w:p>
        </w:tc>
        <w:tc>
          <w:tcPr>
            <w:tcW w:w="2100"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4.53.0 (Docker Engine 29.0.1)</w:t>
            </w:r>
          </w:p>
        </w:tc>
        <w:tc>
          <w:tcPr>
            <w:tcW w:w="4223"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 xml:space="preserve">Ejecuta las bases de datos en contenedores. </w:t>
            </w:r>
            <w:r>
              <w:rPr>
                <w:rFonts w:eastAsia="Calibri" w:cs="Calibri"/>
                <w:b/>
                <w:kern w:val="0"/>
                <w:sz w:val="22"/>
                <w:szCs w:val="22"/>
                <w:lang w:val="es-EC" w:eastAsia="zh-CN" w:bidi="hi-IN"/>
              </w:rPr>
              <w:t>Corre en la sesión de un usuario, no como servicio</w:t>
            </w:r>
          </w:p>
        </w:tc>
      </w:tr>
      <w:tr>
        <w:trPr/>
        <w:tc>
          <w:tcPr>
            <w:tcW w:w="3037" w:type="dxa"/>
            <w:tcBorders/>
          </w:tcPr>
          <w:p>
            <w:pPr>
              <w:pStyle w:val="Normal"/>
              <w:widowControl/>
              <w:suppressAutoHyphens w:val="true"/>
              <w:spacing w:lineRule="auto" w:line="259" w:before="0" w:after="160"/>
              <w:jc w:val="left"/>
              <w:rPr>
                <w:sz w:val="22"/>
              </w:rPr>
            </w:pPr>
            <w:r>
              <w:rPr>
                <w:rFonts w:eastAsia="Calibri" w:cs="Calibri"/>
                <w:kern w:val="0"/>
                <w:sz w:val="22"/>
                <w:szCs w:val="22"/>
                <w:lang w:val="es-EC" w:eastAsia="zh-CN" w:bidi="hi-IN"/>
              </w:rPr>
              <w:t xml:space="preserve">Oracle AI Database 26ai Free — contenedor </w:t>
            </w:r>
            <w:r>
              <w:rPr>
                <w:rStyle w:val="CodeChar"/>
                <w:kern w:val="0"/>
                <w:szCs w:val="22"/>
                <w:lang w:val="es-EC" w:eastAsia="zh-CN" w:bidi="hi-IN"/>
              </w:rPr>
              <w:t>saa-oracle-23ai</w:t>
            </w:r>
          </w:p>
        </w:tc>
        <w:tc>
          <w:tcPr>
            <w:tcW w:w="2100"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23.26.0.0.0</w:t>
            </w:r>
          </w:p>
        </w:tc>
        <w:tc>
          <w:tcPr>
            <w:tcW w:w="4223" w:type="dxa"/>
            <w:tcBorders/>
          </w:tcPr>
          <w:p>
            <w:pPr>
              <w:pStyle w:val="Normal"/>
              <w:widowControl/>
              <w:suppressAutoHyphens w:val="true"/>
              <w:spacing w:lineRule="auto" w:line="259" w:before="0" w:after="160"/>
              <w:jc w:val="left"/>
              <w:rPr>
                <w:sz w:val="22"/>
              </w:rPr>
            </w:pPr>
            <w:r>
              <w:rPr>
                <w:rFonts w:eastAsia="Calibri" w:cs="Calibri"/>
                <w:b/>
                <w:kern w:val="0"/>
                <w:sz w:val="22"/>
                <w:szCs w:val="22"/>
                <w:lang w:val="es-EC" w:eastAsia="zh-CN" w:bidi="hi-IN"/>
              </w:rPr>
              <w:t>Base de producción</w:t>
            </w:r>
            <w:r>
              <w:rPr>
                <w:rFonts w:eastAsia="Calibri" w:cs="Calibri"/>
                <w:kern w:val="0"/>
                <w:sz w:val="22"/>
                <w:szCs w:val="22"/>
                <w:lang w:val="es-EC" w:eastAsia="zh-CN" w:bidi="hi-IN"/>
              </w:rPr>
              <w:t xml:space="preserve">, puerto 1521, PDB </w:t>
            </w:r>
            <w:r>
              <w:rPr>
                <w:rStyle w:val="CodeChar"/>
                <w:kern w:val="0"/>
                <w:szCs w:val="22"/>
                <w:lang w:val="es-EC" w:eastAsia="zh-CN" w:bidi="hi-IN"/>
              </w:rPr>
              <w:t>FREEPDB1</w:t>
            </w:r>
          </w:p>
        </w:tc>
      </w:tr>
      <w:tr>
        <w:trPr/>
        <w:tc>
          <w:tcPr>
            <w:tcW w:w="3037" w:type="dxa"/>
            <w:tcBorders/>
          </w:tcPr>
          <w:p>
            <w:pPr>
              <w:pStyle w:val="Normal"/>
              <w:widowControl/>
              <w:suppressAutoHyphens w:val="true"/>
              <w:spacing w:lineRule="auto" w:line="259" w:before="0" w:after="160"/>
              <w:jc w:val="left"/>
              <w:rPr>
                <w:sz w:val="22"/>
              </w:rPr>
            </w:pPr>
            <w:r>
              <w:rPr>
                <w:rFonts w:eastAsia="Calibri" w:cs="Calibri"/>
                <w:kern w:val="0"/>
                <w:sz w:val="22"/>
                <w:szCs w:val="22"/>
                <w:lang w:val="es-EC" w:eastAsia="zh-CN" w:bidi="hi-IN"/>
              </w:rPr>
              <w:t xml:space="preserve">Oracle AI Database 26ai Free — contenedor </w:t>
            </w:r>
            <w:r>
              <w:rPr>
                <w:rStyle w:val="CodeChar"/>
                <w:kern w:val="0"/>
                <w:szCs w:val="22"/>
                <w:lang w:val="es-EC" w:eastAsia="zh-CN" w:bidi="hi-IN"/>
              </w:rPr>
              <w:t>saa-pruebas</w:t>
            </w:r>
          </w:p>
        </w:tc>
        <w:tc>
          <w:tcPr>
            <w:tcW w:w="2100"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23.26.0.0.0</w:t>
            </w:r>
          </w:p>
        </w:tc>
        <w:tc>
          <w:tcPr>
            <w:tcW w:w="4223"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Copia de pruebas «CUADRE», puerto 1531</w:t>
            </w:r>
          </w:p>
        </w:tc>
      </w:tr>
      <w:tr>
        <w:trPr/>
        <w:tc>
          <w:tcPr>
            <w:tcW w:w="3037" w:type="dxa"/>
            <w:tcBorders/>
          </w:tcPr>
          <w:p>
            <w:pPr>
              <w:pStyle w:val="Normal"/>
              <w:widowControl/>
              <w:suppressAutoHyphens w:val="true"/>
              <w:spacing w:lineRule="auto" w:line="259" w:before="0" w:after="160"/>
              <w:jc w:val="left"/>
              <w:rPr>
                <w:sz w:val="22"/>
              </w:rPr>
            </w:pPr>
            <w:r>
              <w:rPr>
                <w:rFonts w:eastAsia="Calibri" w:cs="Calibri"/>
                <w:kern w:val="0"/>
                <w:sz w:val="22"/>
                <w:szCs w:val="22"/>
                <w:lang w:val="es-EC" w:eastAsia="zh-CN" w:bidi="hi-IN"/>
              </w:rPr>
              <w:t xml:space="preserve">WildFly — </w:t>
            </w:r>
            <w:r>
              <w:rPr>
                <w:rStyle w:val="CodeChar"/>
                <w:kern w:val="0"/>
                <w:szCs w:val="22"/>
                <w:lang w:val="es-EC" w:eastAsia="zh-CN" w:bidi="hi-IN"/>
              </w:rPr>
              <w:t>D:\wildfly38</w:t>
            </w:r>
          </w:p>
        </w:tc>
        <w:tc>
          <w:tcPr>
            <w:tcW w:w="2100"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38.0.0.Final</w:t>
            </w:r>
          </w:p>
        </w:tc>
        <w:tc>
          <w:tcPr>
            <w:tcW w:w="4223" w:type="dxa"/>
            <w:tcBorders/>
          </w:tcPr>
          <w:p>
            <w:pPr>
              <w:pStyle w:val="Normal"/>
              <w:widowControl/>
              <w:suppressAutoHyphens w:val="true"/>
              <w:spacing w:lineRule="auto" w:line="259" w:before="0" w:after="160"/>
              <w:jc w:val="left"/>
              <w:rPr>
                <w:sz w:val="22"/>
                <w:lang w:val="es-EC" w:eastAsia="zh-CN" w:bidi="hi-IN"/>
              </w:rPr>
            </w:pPr>
            <w:r>
              <w:rPr>
                <w:rFonts w:eastAsia="Calibri" w:cs="Calibri"/>
                <w:b/>
                <w:kern w:val="0"/>
                <w:sz w:val="22"/>
                <w:szCs w:val="22"/>
                <w:lang w:val="es-EC" w:eastAsia="zh-CN" w:bidi="hi-IN"/>
              </w:rPr>
              <w:t>Aplicación de producción</w:t>
            </w:r>
            <w:r>
              <w:rPr>
                <w:rFonts w:eastAsia="Calibri" w:cs="Calibri"/>
                <w:kern w:val="0"/>
                <w:sz w:val="22"/>
                <w:szCs w:val="22"/>
                <w:lang w:val="es-EC" w:eastAsia="zh-CN" w:bidi="hi-IN"/>
              </w:rPr>
              <w:t>, puertos 8080 y 8443, 4 GB de memoria</w:t>
            </w:r>
          </w:p>
        </w:tc>
      </w:tr>
      <w:tr>
        <w:trPr/>
        <w:tc>
          <w:tcPr>
            <w:tcW w:w="3037" w:type="dxa"/>
            <w:tcBorders/>
          </w:tcPr>
          <w:p>
            <w:pPr>
              <w:pStyle w:val="Normal"/>
              <w:widowControl/>
              <w:suppressAutoHyphens w:val="true"/>
              <w:spacing w:lineRule="auto" w:line="259" w:before="0" w:after="160"/>
              <w:jc w:val="left"/>
              <w:rPr>
                <w:sz w:val="22"/>
              </w:rPr>
            </w:pPr>
            <w:r>
              <w:rPr>
                <w:rFonts w:eastAsia="Calibri" w:cs="Calibri"/>
                <w:kern w:val="0"/>
                <w:sz w:val="22"/>
                <w:szCs w:val="22"/>
                <w:lang w:val="es-EC" w:eastAsia="zh-CN" w:bidi="hi-IN"/>
              </w:rPr>
              <w:t xml:space="preserve">WildFly — </w:t>
            </w:r>
            <w:r>
              <w:rPr>
                <w:rStyle w:val="CodeChar"/>
                <w:kern w:val="0"/>
                <w:szCs w:val="22"/>
                <w:lang w:val="es-EC" w:eastAsia="zh-CN" w:bidi="hi-IN"/>
              </w:rPr>
              <w:t>D:\wildfly38-pruebas</w:t>
            </w:r>
          </w:p>
        </w:tc>
        <w:tc>
          <w:tcPr>
            <w:tcW w:w="2100"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38.0.0.Final</w:t>
            </w:r>
          </w:p>
        </w:tc>
        <w:tc>
          <w:tcPr>
            <w:tcW w:w="4223"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Aplicación de pruebas «CUADRE», puertos 8180 y 8543, 2 GB de memoria</w:t>
            </w:r>
          </w:p>
        </w:tc>
      </w:tr>
      <w:tr>
        <w:trPr/>
        <w:tc>
          <w:tcPr>
            <w:tcW w:w="3037"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Oracle JDK</w:t>
            </w:r>
          </w:p>
        </w:tc>
        <w:tc>
          <w:tcPr>
            <w:tcW w:w="2100"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21.0.8 LTS</w:t>
            </w:r>
          </w:p>
        </w:tc>
        <w:tc>
          <w:tcPr>
            <w:tcW w:w="4223"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Plataforma de WildFly</w:t>
            </w:r>
          </w:p>
        </w:tc>
      </w:tr>
      <w:tr>
        <w:trPr/>
        <w:tc>
          <w:tcPr>
            <w:tcW w:w="3037"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Windows Subsystem for Linux</w:t>
            </w:r>
          </w:p>
        </w:tc>
        <w:tc>
          <w:tcPr>
            <w:tcW w:w="2100"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2.6.2</w:t>
            </w:r>
          </w:p>
        </w:tc>
        <w:tc>
          <w:tcPr>
            <w:tcW w:w="4223"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Requerido por Docker Desktop</w:t>
            </w:r>
          </w:p>
        </w:tc>
      </w:tr>
      <w:tr>
        <w:trPr/>
        <w:tc>
          <w:tcPr>
            <w:tcW w:w="3037"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Microsoft Defender Antivirus</w:t>
            </w:r>
          </w:p>
        </w:tc>
        <w:tc>
          <w:tcPr>
            <w:tcW w:w="2100"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4.18.26090.9</w:t>
            </w:r>
          </w:p>
        </w:tc>
        <w:tc>
          <w:tcPr>
            <w:tcW w:w="4223"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Antivirus</w:t>
            </w:r>
          </w:p>
        </w:tc>
      </w:tr>
      <w:tr>
        <w:trPr/>
        <w:tc>
          <w:tcPr>
            <w:tcW w:w="3037"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Oracle Database XE</w:t>
            </w:r>
          </w:p>
        </w:tc>
        <w:tc>
          <w:tcPr>
            <w:tcW w:w="2100"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21c</w:t>
            </w:r>
          </w:p>
        </w:tc>
        <w:tc>
          <w:tcPr>
            <w:tcW w:w="4223" w:type="dxa"/>
            <w:tcBorders/>
          </w:tcPr>
          <w:p>
            <w:pPr>
              <w:pStyle w:val="Normal"/>
              <w:widowControl/>
              <w:suppressAutoHyphens w:val="true"/>
              <w:spacing w:lineRule="auto" w:line="259" w:before="0" w:after="160"/>
              <w:jc w:val="left"/>
              <w:rPr>
                <w:sz w:val="22"/>
                <w:lang w:val="es-EC" w:eastAsia="zh-CN" w:bidi="hi-IN"/>
              </w:rPr>
            </w:pPr>
            <w:r>
              <w:rPr>
                <w:rFonts w:eastAsia="Calibri" w:cs="Calibri"/>
                <w:b/>
                <w:kern w:val="0"/>
                <w:sz w:val="22"/>
                <w:szCs w:val="22"/>
                <w:lang w:val="es-EC" w:eastAsia="zh-CN" w:bidi="hi-IN"/>
              </w:rPr>
              <w:t>Ajeno al SAA</w:t>
            </w:r>
            <w:r>
              <w:rPr>
                <w:rFonts w:eastAsia="Calibri" w:cs="Calibri"/>
                <w:kern w:val="0"/>
                <w:sz w:val="22"/>
                <w:szCs w:val="22"/>
                <w:lang w:val="es-EC" w:eastAsia="zh-CN" w:bidi="hi-IN"/>
              </w:rPr>
              <w:t>, servicios detenidos</w:t>
            </w:r>
          </w:p>
        </w:tc>
      </w:tr>
      <w:tr>
        <w:trPr/>
        <w:tc>
          <w:tcPr>
            <w:tcW w:w="3037"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Herramientas</w:t>
            </w:r>
          </w:p>
        </w:tc>
        <w:tc>
          <w:tcPr>
            <w:tcW w:w="2100"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DBeaver 26.2.3, Google Chrome, Notepad++, WinRAR, Lightshot</w:t>
            </w:r>
          </w:p>
        </w:tc>
        <w:tc>
          <w:tcPr>
            <w:tcW w:w="4223"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Administración y soporte</w:t>
            </w:r>
          </w:p>
        </w:tc>
      </w:tr>
    </w:tbl>
    <w:p>
      <w:pPr>
        <w:pStyle w:val="Heading4"/>
        <w:rPr>
          <w:lang w:val="es-EC" w:eastAsia="zh-CN" w:bidi="hi-IN"/>
        </w:rPr>
      </w:pPr>
      <w:r>
        <w:rPr>
          <w:lang w:val="es-EC" w:eastAsia="zh-CN" w:bidi="hi-IN"/>
        </w:rPr>
        <w:t>SRVDEV1 (pruebas)</w:t>
      </w:r>
    </w:p>
    <w:tbl>
      <w:tblPr>
        <w:tblStyle w:val="TableGrid"/>
        <w:tblW w:w="9360" w:type="dxa"/>
        <w:jc w:val="left"/>
        <w:tblInd w:w="0" w:type="dxa"/>
        <w:tblLayout w:type="fixed"/>
        <w:tblCellMar>
          <w:top w:w="0" w:type="dxa"/>
          <w:left w:w="108" w:type="dxa"/>
          <w:bottom w:w="0" w:type="dxa"/>
          <w:right w:w="108" w:type="dxa"/>
        </w:tblCellMar>
        <w:tblLook w:val="0420" w:firstRow="1" w:noVBand="1" w:lastRow="0" w:firstColumn="0" w:lastColumn="0" w:noHBand="0"/>
      </w:tblPr>
      <w:tblGrid>
        <w:gridCol w:w="2928"/>
        <w:gridCol w:w="1617"/>
        <w:gridCol w:w="4815"/>
      </w:tblGrid>
      <w:tr>
        <w:trPr>
          <w:tblHeader w:val="true"/>
        </w:trPr>
        <w:tc>
          <w:tcPr>
            <w:tcW w:w="2928" w:type="dxa"/>
            <w:tcBorders/>
            <w:shd w:color="auto" w:fill="F2F2F2" w:val="clear"/>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Software</w:t>
            </w:r>
          </w:p>
        </w:tc>
        <w:tc>
          <w:tcPr>
            <w:tcW w:w="1617" w:type="dxa"/>
            <w:tcBorders/>
            <w:shd w:color="auto" w:fill="F2F2F2" w:val="clear"/>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Versión</w:t>
            </w:r>
          </w:p>
        </w:tc>
        <w:tc>
          <w:tcPr>
            <w:tcW w:w="4815" w:type="dxa"/>
            <w:tcBorders/>
            <w:shd w:color="auto" w:fill="F2F2F2" w:val="clear"/>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Uso</w:t>
            </w:r>
          </w:p>
        </w:tc>
      </w:tr>
      <w:tr>
        <w:trPr/>
        <w:tc>
          <w:tcPr>
            <w:tcW w:w="2928"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Windows Server Standard</w:t>
            </w:r>
          </w:p>
        </w:tc>
        <w:tc>
          <w:tcPr>
            <w:tcW w:w="1617"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2025 (10.0.26100), licencia OEM activada</w:t>
            </w:r>
          </w:p>
        </w:tc>
        <w:tc>
          <w:tcPr>
            <w:tcW w:w="4815"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Sistema operativo</w:t>
            </w:r>
          </w:p>
        </w:tc>
      </w:tr>
      <w:tr>
        <w:trPr/>
        <w:tc>
          <w:tcPr>
            <w:tcW w:w="2928"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Docker Desktop</w:t>
            </w:r>
          </w:p>
        </w:tc>
        <w:tc>
          <w:tcPr>
            <w:tcW w:w="1617"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4.52.0 (Docker Engine 29.0.1)</w:t>
            </w:r>
          </w:p>
        </w:tc>
        <w:tc>
          <w:tcPr>
            <w:tcW w:w="4815"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Ejecuta la base de pruebas. Corre en la sesión de un usuario, no como servicio</w:t>
            </w:r>
          </w:p>
        </w:tc>
      </w:tr>
      <w:tr>
        <w:trPr/>
        <w:tc>
          <w:tcPr>
            <w:tcW w:w="2928" w:type="dxa"/>
            <w:tcBorders/>
          </w:tcPr>
          <w:p>
            <w:pPr>
              <w:pStyle w:val="Normal"/>
              <w:widowControl/>
              <w:suppressAutoHyphens w:val="true"/>
              <w:spacing w:lineRule="auto" w:line="259" w:before="0" w:after="160"/>
              <w:jc w:val="left"/>
              <w:rPr>
                <w:sz w:val="22"/>
              </w:rPr>
            </w:pPr>
            <w:r>
              <w:rPr>
                <w:rFonts w:eastAsia="Calibri" w:cs="Calibri"/>
                <w:kern w:val="0"/>
                <w:sz w:val="22"/>
                <w:szCs w:val="22"/>
                <w:lang w:val="es-EC" w:eastAsia="zh-CN" w:bidi="hi-IN"/>
              </w:rPr>
              <w:t xml:space="preserve">Oracle AI Database 26ai Free — contenedor </w:t>
            </w:r>
            <w:r>
              <w:rPr>
                <w:rStyle w:val="CodeChar"/>
                <w:kern w:val="0"/>
                <w:szCs w:val="22"/>
                <w:lang w:val="es-EC" w:eastAsia="zh-CN" w:bidi="hi-IN"/>
              </w:rPr>
              <w:t>saa-pruebas</w:t>
            </w:r>
          </w:p>
        </w:tc>
        <w:tc>
          <w:tcPr>
            <w:tcW w:w="1617"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23.26.3.0.0</w:t>
            </w:r>
          </w:p>
        </w:tc>
        <w:tc>
          <w:tcPr>
            <w:tcW w:w="4815"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Base de pruebas, puerto 1531, clonada desde producción</w:t>
            </w:r>
          </w:p>
        </w:tc>
      </w:tr>
      <w:tr>
        <w:trPr/>
        <w:tc>
          <w:tcPr>
            <w:tcW w:w="2928" w:type="dxa"/>
            <w:tcBorders/>
          </w:tcPr>
          <w:p>
            <w:pPr>
              <w:pStyle w:val="Normal"/>
              <w:widowControl/>
              <w:suppressAutoHyphens w:val="true"/>
              <w:spacing w:lineRule="auto" w:line="259" w:before="0" w:after="160"/>
              <w:jc w:val="left"/>
              <w:rPr>
                <w:sz w:val="22"/>
              </w:rPr>
            </w:pPr>
            <w:r>
              <w:rPr>
                <w:rFonts w:eastAsia="Calibri" w:cs="Calibri"/>
                <w:kern w:val="0"/>
                <w:sz w:val="22"/>
                <w:szCs w:val="22"/>
                <w:lang w:val="es-EC" w:eastAsia="zh-CN" w:bidi="hi-IN"/>
              </w:rPr>
              <w:t xml:space="preserve">WildFly — </w:t>
            </w:r>
            <w:r>
              <w:rPr>
                <w:rStyle w:val="CodeChar"/>
                <w:kern w:val="0"/>
                <w:szCs w:val="22"/>
                <w:lang w:val="es-EC" w:eastAsia="zh-CN" w:bidi="hi-IN"/>
              </w:rPr>
              <w:t>D:\wildfly38-pruebas</w:t>
            </w:r>
          </w:p>
        </w:tc>
        <w:tc>
          <w:tcPr>
            <w:tcW w:w="1617"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38</w:t>
            </w:r>
          </w:p>
        </w:tc>
        <w:tc>
          <w:tcPr>
            <w:tcW w:w="4815"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Aplicación de pruebas «ASOPREP PRUEBAS», puertos 8180 y 8543, 2 GB de memoria</w:t>
            </w:r>
          </w:p>
        </w:tc>
      </w:tr>
      <w:tr>
        <w:trPr/>
        <w:tc>
          <w:tcPr>
            <w:tcW w:w="2928" w:type="dxa"/>
            <w:tcBorders/>
          </w:tcPr>
          <w:p>
            <w:pPr>
              <w:pStyle w:val="Normal"/>
              <w:widowControl/>
              <w:suppressAutoHyphens w:val="true"/>
              <w:spacing w:lineRule="auto" w:line="259" w:before="0" w:after="160"/>
              <w:jc w:val="left"/>
              <w:rPr>
                <w:sz w:val="22"/>
              </w:rPr>
            </w:pPr>
            <w:r>
              <w:rPr>
                <w:rFonts w:eastAsia="Calibri" w:cs="Calibri"/>
                <w:kern w:val="0"/>
                <w:sz w:val="22"/>
                <w:szCs w:val="22"/>
                <w:lang w:val="es-EC" w:eastAsia="zh-CN" w:bidi="hi-IN"/>
              </w:rPr>
              <w:t xml:space="preserve">WildFly — </w:t>
            </w:r>
            <w:r>
              <w:rPr>
                <w:rStyle w:val="CodeChar"/>
                <w:kern w:val="0"/>
                <w:szCs w:val="22"/>
                <w:lang w:val="es-EC" w:eastAsia="zh-CN" w:bidi="hi-IN"/>
              </w:rPr>
              <w:t>D:\wildfly38</w:t>
            </w:r>
          </w:p>
        </w:tc>
        <w:tc>
          <w:tcPr>
            <w:tcW w:w="1617"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38</w:t>
            </w:r>
          </w:p>
        </w:tc>
        <w:tc>
          <w:tcPr>
            <w:tcW w:w="4815" w:type="dxa"/>
            <w:tcBorders/>
          </w:tcPr>
          <w:p>
            <w:pPr>
              <w:pStyle w:val="Normal"/>
              <w:widowControl/>
              <w:suppressAutoHyphens w:val="true"/>
              <w:spacing w:lineRule="auto" w:line="259" w:before="0" w:after="160"/>
              <w:jc w:val="left"/>
              <w:rPr>
                <w:sz w:val="22"/>
              </w:rPr>
            </w:pPr>
            <w:r>
              <w:rPr>
                <w:rFonts w:eastAsia="Calibri" w:cs="Calibri"/>
                <w:kern w:val="0"/>
                <w:sz w:val="22"/>
                <w:szCs w:val="22"/>
                <w:lang w:val="es-EC" w:eastAsia="zh-CN" w:bidi="hi-IN"/>
              </w:rPr>
              <w:t>Capa de publicación de la app móvil (</w:t>
            </w:r>
            <w:r>
              <w:rPr>
                <w:rStyle w:val="CodeChar"/>
                <w:kern w:val="0"/>
                <w:szCs w:val="22"/>
                <w:lang w:val="es-EC" w:eastAsia="zh-CN" w:bidi="hi-IN"/>
              </w:rPr>
              <w:t>SaaMovilBE</w:t>
            </w:r>
            <w:r>
              <w:rPr>
                <w:rFonts w:eastAsia="Calibri" w:cs="Calibri"/>
                <w:kern w:val="0"/>
                <w:sz w:val="22"/>
                <w:szCs w:val="22"/>
                <w:lang w:val="es-EC" w:eastAsia="zh-CN" w:bidi="hi-IN"/>
              </w:rPr>
              <w:t>), puertos 8080 y 8443, 512 MB de memoria, sin conexión a base de datos</w:t>
            </w:r>
          </w:p>
        </w:tc>
      </w:tr>
      <w:tr>
        <w:trPr/>
        <w:tc>
          <w:tcPr>
            <w:tcW w:w="2928"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Oracle JDK</w:t>
            </w:r>
          </w:p>
        </w:tc>
        <w:tc>
          <w:tcPr>
            <w:tcW w:w="1617"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21.0.8 LTS</w:t>
            </w:r>
          </w:p>
        </w:tc>
        <w:tc>
          <w:tcPr>
            <w:tcW w:w="4815"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Plataforma de WildFly</w:t>
            </w:r>
          </w:p>
        </w:tc>
      </w:tr>
      <w:tr>
        <w:trPr/>
        <w:tc>
          <w:tcPr>
            <w:tcW w:w="2928"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Windows Subsystem for Linux</w:t>
            </w:r>
          </w:p>
        </w:tc>
        <w:tc>
          <w:tcPr>
            <w:tcW w:w="1617"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2.6.1</w:t>
            </w:r>
          </w:p>
        </w:tc>
        <w:tc>
          <w:tcPr>
            <w:tcW w:w="4815"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Requerido por Docker Desktop</w:t>
            </w:r>
          </w:p>
        </w:tc>
      </w:tr>
      <w:tr>
        <w:trPr/>
        <w:tc>
          <w:tcPr>
            <w:tcW w:w="2928"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Microsoft Defender Antivirus</w:t>
            </w:r>
          </w:p>
        </w:tc>
        <w:tc>
          <w:tcPr>
            <w:tcW w:w="1617"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4.18.26090.9</w:t>
            </w:r>
          </w:p>
        </w:tc>
        <w:tc>
          <w:tcPr>
            <w:tcW w:w="4815"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Antivirus</w:t>
            </w:r>
          </w:p>
        </w:tc>
      </w:tr>
      <w:tr>
        <w:trPr/>
        <w:tc>
          <w:tcPr>
            <w:tcW w:w="2928" w:type="dxa"/>
            <w:tcBorders/>
          </w:tcPr>
          <w:p>
            <w:pPr>
              <w:pStyle w:val="Normal"/>
              <w:widowControl/>
              <w:suppressAutoHyphens w:val="true"/>
              <w:spacing w:lineRule="auto" w:line="259" w:before="0" w:after="160"/>
              <w:jc w:val="left"/>
              <w:rPr>
                <w:sz w:val="22"/>
              </w:rPr>
            </w:pPr>
            <w:r>
              <w:rPr>
                <w:rFonts w:eastAsia="Calibri" w:cs="Calibri"/>
                <w:kern w:val="0"/>
                <w:sz w:val="22"/>
                <w:szCs w:val="22"/>
                <w:lang w:val="es-EC" w:eastAsia="zh-CN" w:bidi="hi-IN"/>
              </w:rPr>
              <w:t xml:space="preserve">Contenedores </w:t>
            </w:r>
            <w:r>
              <w:rPr>
                <w:rStyle w:val="CodeChar"/>
                <w:kern w:val="0"/>
                <w:szCs w:val="22"/>
                <w:lang w:val="es-EC" w:eastAsia="zh-CN" w:bidi="hi-IN"/>
              </w:rPr>
              <w:t>asoprep-*</w:t>
            </w:r>
            <w:r>
              <w:rPr>
                <w:rFonts w:eastAsia="Calibri" w:cs="Calibri"/>
                <w:kern w:val="0"/>
                <w:sz w:val="22"/>
                <w:szCs w:val="22"/>
                <w:lang w:val="es-EC" w:eastAsia="zh-CN" w:bidi="hi-IN"/>
              </w:rPr>
              <w:t xml:space="preserve"> (.NET, 10 servicios) y SQL Server 2022</w:t>
            </w:r>
          </w:p>
        </w:tc>
        <w:tc>
          <w:tcPr>
            <w:tcW w:w="1617"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w:t>
            </w:r>
          </w:p>
        </w:tc>
        <w:tc>
          <w:tcPr>
            <w:tcW w:w="4815" w:type="dxa"/>
            <w:tcBorders/>
          </w:tcPr>
          <w:p>
            <w:pPr>
              <w:pStyle w:val="Normal"/>
              <w:widowControl/>
              <w:suppressAutoHyphens w:val="true"/>
              <w:spacing w:lineRule="auto" w:line="259" w:before="0" w:after="160"/>
              <w:jc w:val="left"/>
              <w:rPr>
                <w:sz w:val="22"/>
                <w:lang w:val="es-EC" w:eastAsia="zh-CN" w:bidi="hi-IN"/>
              </w:rPr>
            </w:pPr>
            <w:r>
              <w:rPr>
                <w:rFonts w:eastAsia="Calibri" w:cs="Calibri"/>
                <w:b/>
                <w:kern w:val="0"/>
                <w:sz w:val="22"/>
                <w:szCs w:val="22"/>
                <w:lang w:val="es-EC" w:eastAsia="zh-CN" w:bidi="hi-IN"/>
              </w:rPr>
              <w:t>Aplicación anterior, detenida</w:t>
            </w:r>
            <w:r>
              <w:rPr>
                <w:rFonts w:eastAsia="Calibri" w:cs="Calibri"/>
                <w:kern w:val="0"/>
                <w:sz w:val="22"/>
                <w:szCs w:val="22"/>
                <w:lang w:val="es-EC" w:eastAsia="zh-CN" w:bidi="hi-IN"/>
              </w:rPr>
              <w:t xml:space="preserve"> desde hace seis semanas; no forma parte del SAA</w:t>
            </w:r>
          </w:p>
        </w:tc>
      </w:tr>
      <w:tr>
        <w:trPr/>
        <w:tc>
          <w:tcPr>
            <w:tcW w:w="2928"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Herramientas</w:t>
            </w:r>
          </w:p>
        </w:tc>
        <w:tc>
          <w:tcPr>
            <w:tcW w:w="1617"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Google Chrome, Notepad++, WinRAR</w:t>
            </w:r>
          </w:p>
        </w:tc>
        <w:tc>
          <w:tcPr>
            <w:tcW w:w="4815"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Administración y soporte</w:t>
            </w:r>
          </w:p>
        </w:tc>
      </w:tr>
    </w:tbl>
    <w:p>
      <w:pPr>
        <w:pStyle w:val="Heading3"/>
        <w:rPr>
          <w:lang w:val="es-EC" w:eastAsia="zh-CN" w:bidi="hi-IN"/>
        </w:rPr>
      </w:pPr>
      <w:r>
        <w:rPr>
          <w:lang w:val="es-EC" w:eastAsia="zh-CN" w:bidi="hi-IN"/>
        </w:rPr>
        <w:t>2.3. Equipos de comunicaciones y seguridad</w:t>
      </w:r>
    </w:p>
    <w:p>
      <w:pPr>
        <w:pStyle w:val="Normal"/>
        <w:rPr>
          <w:lang w:val="es-EC" w:eastAsia="zh-CN" w:bidi="hi-IN"/>
        </w:rPr>
      </w:pPr>
      <w:r>
        <w:rPr>
          <w:lang w:val="es-EC" w:eastAsia="zh-CN" w:bidi="hi-IN"/>
        </w:rPr>
        <w:t>Los dos servidores tienen el firewall de Windows activo en los tres perfiles, Microsoft Defender en tiempo real y escritorio remoto para la administración. La puerta de enlace es 192.168.2.1 y el DNS del dominio, 192.168.2.5.</w:t>
      </w:r>
    </w:p>
    <w:tbl>
      <w:tblPr>
        <w:tblStyle w:val="TableGrid"/>
        <w:tblW w:w="9360" w:type="dxa"/>
        <w:jc w:val="left"/>
        <w:tblInd w:w="0" w:type="dxa"/>
        <w:tblLayout w:type="fixed"/>
        <w:tblCellMar>
          <w:top w:w="0" w:type="dxa"/>
          <w:left w:w="108" w:type="dxa"/>
          <w:bottom w:w="0" w:type="dxa"/>
          <w:right w:w="108" w:type="dxa"/>
        </w:tblCellMar>
        <w:tblLook w:val="0420" w:firstRow="1" w:noVBand="1" w:lastRow="0" w:firstColumn="0" w:lastColumn="0" w:noHBand="0"/>
      </w:tblPr>
      <w:tblGrid>
        <w:gridCol w:w="2012"/>
        <w:gridCol w:w="4920"/>
        <w:gridCol w:w="2428"/>
      </w:tblGrid>
      <w:tr>
        <w:trPr>
          <w:tblHeader w:val="true"/>
        </w:trPr>
        <w:tc>
          <w:tcPr>
            <w:tcW w:w="2012" w:type="dxa"/>
            <w:tcBorders/>
            <w:shd w:color="auto" w:fill="F2F2F2" w:val="clear"/>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Equipo o servicio</w:t>
            </w:r>
          </w:p>
        </w:tc>
        <w:tc>
          <w:tcPr>
            <w:tcW w:w="4920" w:type="dxa"/>
            <w:tcBorders/>
            <w:shd w:color="auto" w:fill="F2F2F2" w:val="clear"/>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Detalle</w:t>
            </w:r>
          </w:p>
        </w:tc>
        <w:tc>
          <w:tcPr>
            <w:tcW w:w="2428" w:type="dxa"/>
            <w:tcBorders/>
            <w:shd w:color="auto" w:fill="F2F2F2" w:val="clear"/>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Contrato</w:t>
            </w:r>
          </w:p>
        </w:tc>
      </w:tr>
      <w:tr>
        <w:trPr/>
        <w:tc>
          <w:tcPr>
            <w:tcW w:w="2012"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Firewall de Windows — SRVDEV2</w:t>
            </w:r>
          </w:p>
        </w:tc>
        <w:tc>
          <w:tcPr>
            <w:tcW w:w="4920"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Reglas de entrada abiertas desde cualquier origen: 3389 (escritorio remoto), 1521 (base de producción) y 8080 (SAA)</w:t>
            </w:r>
          </w:p>
        </w:tc>
        <w:tc>
          <w:tcPr>
            <w:tcW w:w="2428"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Incluido en Windows</w:t>
            </w:r>
          </w:p>
        </w:tc>
      </w:tr>
      <w:tr>
        <w:trPr/>
        <w:tc>
          <w:tcPr>
            <w:tcW w:w="2012"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Firewall de Windows — SRVDEV1</w:t>
            </w:r>
          </w:p>
        </w:tc>
        <w:tc>
          <w:tcPr>
            <w:tcW w:w="4920"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Reglas de entrada abiertas desde cualquier origen: 3389, 443 (app móvil), 8080, 8180, 1531 y 9990 (la consola de WildFly solo escucha en local)</w:t>
            </w:r>
          </w:p>
        </w:tc>
        <w:tc>
          <w:tcPr>
            <w:tcW w:w="2428"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Incluido en Windows</w:t>
            </w:r>
          </w:p>
        </w:tc>
      </w:tr>
      <w:tr>
        <w:trPr/>
        <w:tc>
          <w:tcPr>
            <w:tcW w:w="2012"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Antivirus</w:t>
            </w:r>
          </w:p>
        </w:tc>
        <w:tc>
          <w:tcPr>
            <w:tcW w:w="4920"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Microsoft Defender Antivirus 4.18.26090.9 en ambos; tiempo real activo, firmas del 23 y 24 de octubre de 2026, análisis rápido diario</w:t>
            </w:r>
          </w:p>
        </w:tc>
        <w:tc>
          <w:tcPr>
            <w:tcW w:w="2428"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Incluido en Windows</w:t>
            </w:r>
          </w:p>
        </w:tc>
      </w:tr>
      <w:tr>
        <w:trPr/>
        <w:tc>
          <w:tcPr>
            <w:tcW w:w="2012"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Escritorio remoto</w:t>
            </w:r>
          </w:p>
        </w:tc>
        <w:tc>
          <w:tcPr>
            <w:tcW w:w="4920"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Habilitado en ambos, puerto 3389, sin autenticación a nivel de red (NLA); solo para administradores del dominio</w:t>
            </w:r>
          </w:p>
        </w:tc>
        <w:tc>
          <w:tcPr>
            <w:tcW w:w="2428"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Incluido en Windows</w:t>
            </w:r>
          </w:p>
        </w:tc>
      </w:tr>
      <w:tr>
        <w:trPr/>
        <w:tc>
          <w:tcPr>
            <w:tcW w:w="2012"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Cifrado de disco</w:t>
            </w:r>
          </w:p>
        </w:tc>
        <w:tc>
          <w:tcPr>
            <w:tcW w:w="4920"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BitLocker no está instalado</w:t>
            </w:r>
          </w:p>
        </w:tc>
        <w:tc>
          <w:tcPr>
            <w:tcW w:w="2428"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w:t>
            </w:r>
          </w:p>
        </w:tc>
      </w:tr>
    </w:tbl>
    <w:p>
      <w:pPr>
        <w:pStyle w:val="Heading3"/>
        <w:rPr>
          <w:lang w:val="es-EC" w:eastAsia="zh-CN" w:bidi="hi-IN"/>
        </w:rPr>
      </w:pPr>
      <w:r>
        <w:rPr>
          <w:lang w:val="es-EC" w:eastAsia="zh-CN" w:bidi="hi-IN"/>
        </w:rPr>
        <w:t>2.4. Licencias y contratos relacionados</w:t>
      </w:r>
    </w:p>
    <w:tbl>
      <w:tblPr>
        <w:tblStyle w:val="TableGrid"/>
        <w:tblW w:w="9360" w:type="dxa"/>
        <w:jc w:val="left"/>
        <w:tblInd w:w="0" w:type="dxa"/>
        <w:tblLayout w:type="fixed"/>
        <w:tblCellMar>
          <w:top w:w="0" w:type="dxa"/>
          <w:left w:w="108" w:type="dxa"/>
          <w:bottom w:w="0" w:type="dxa"/>
          <w:right w:w="108" w:type="dxa"/>
        </w:tblCellMar>
        <w:tblLook w:val="0420" w:firstRow="1" w:noVBand="1" w:lastRow="0" w:firstColumn="0" w:lastColumn="0" w:noHBand="0"/>
      </w:tblPr>
      <w:tblGrid>
        <w:gridCol w:w="2959"/>
        <w:gridCol w:w="3542"/>
        <w:gridCol w:w="2859"/>
      </w:tblGrid>
      <w:tr>
        <w:trPr>
          <w:tblHeader w:val="true"/>
        </w:trPr>
        <w:tc>
          <w:tcPr>
            <w:tcW w:w="2959" w:type="dxa"/>
            <w:tcBorders/>
            <w:shd w:color="auto" w:fill="F2F2F2" w:val="clear"/>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Elemento</w:t>
            </w:r>
          </w:p>
        </w:tc>
        <w:tc>
          <w:tcPr>
            <w:tcW w:w="3542" w:type="dxa"/>
            <w:tcBorders/>
            <w:shd w:color="auto" w:fill="F2F2F2" w:val="clear"/>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Situación</w:t>
            </w:r>
          </w:p>
        </w:tc>
        <w:tc>
          <w:tcPr>
            <w:tcW w:w="2859" w:type="dxa"/>
            <w:tcBorders/>
            <w:shd w:color="auto" w:fill="F2F2F2" w:val="clear"/>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Contrato o vigencia</w:t>
            </w:r>
          </w:p>
        </w:tc>
      </w:tr>
      <w:tr>
        <w:trPr/>
        <w:tc>
          <w:tcPr>
            <w:tcW w:w="2959"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Windows Server 2025 Standard</w:t>
            </w:r>
          </w:p>
        </w:tc>
        <w:tc>
          <w:tcPr>
            <w:tcW w:w="3542"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Licencia OEM (canal OEM_COA_NSLP), activada en los dos servidores</w:t>
            </w:r>
          </w:p>
        </w:tc>
        <w:tc>
          <w:tcPr>
            <w:tcW w:w="2859"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Vinculada al equipo</w:t>
            </w:r>
          </w:p>
        </w:tc>
      </w:tr>
      <w:tr>
        <w:trPr/>
        <w:tc>
          <w:tcPr>
            <w:tcW w:w="2959"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Oracle AI Database 26ai Free</w:t>
            </w:r>
          </w:p>
        </w:tc>
        <w:tc>
          <w:tcPr>
            <w:tcW w:w="3542"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Edición gratuita, sin soporte de Oracle</w:t>
            </w:r>
          </w:p>
        </w:tc>
        <w:tc>
          <w:tcPr>
            <w:tcW w:w="2859"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No aplica. Límite: 12 GB de datos de usuario; el SAA usa unos 0,7 GB</w:t>
            </w:r>
          </w:p>
        </w:tc>
      </w:tr>
      <w:tr>
        <w:trPr/>
        <w:tc>
          <w:tcPr>
            <w:tcW w:w="2959"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WildFly, Java, Angular, JasperReports, Caddy</w:t>
            </w:r>
          </w:p>
        </w:tc>
        <w:tc>
          <w:tcPr>
            <w:tcW w:w="3542"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Software libre</w:t>
            </w:r>
          </w:p>
        </w:tc>
        <w:tc>
          <w:tcPr>
            <w:tcW w:w="2859"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No aplica</w:t>
            </w:r>
          </w:p>
        </w:tc>
      </w:tr>
      <w:tr>
        <w:trPr/>
        <w:tc>
          <w:tcPr>
            <w:tcW w:w="2959"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Microsoft Defender</w:t>
            </w:r>
          </w:p>
        </w:tc>
        <w:tc>
          <w:tcPr>
            <w:tcW w:w="3542"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Incluido en Windows Server</w:t>
            </w:r>
          </w:p>
        </w:tc>
        <w:tc>
          <w:tcPr>
            <w:tcW w:w="2859"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No aplica</w:t>
            </w:r>
          </w:p>
        </w:tc>
      </w:tr>
    </w:tbl>
    <w:p>
      <w:pPr>
        <w:pStyle w:val="Heading2"/>
        <w:rPr>
          <w:lang w:val="es-EC" w:eastAsia="zh-CN" w:bidi="hi-IN"/>
        </w:rPr>
      </w:pPr>
      <w:r>
        <w:rPr>
          <w:lang w:val="es-EC" w:eastAsia="zh-CN" w:bidi="hi-IN"/>
        </w:rPr>
        <w:t>5. Arquitectura tecnológica de la entidad de los ambientes de producción, desarrollo y pruebas</w:t>
      </w:r>
    </w:p>
    <w:p>
      <w:pPr>
        <w:pStyle w:val="Normal"/>
        <w:rPr/>
      </w:pPr>
      <w:r>
        <w:rPr>
          <w:lang w:val="es-EC" w:eastAsia="zh-CN" w:bidi="hi-IN"/>
        </w:rPr>
        <w:t xml:space="preserve">Los tres ambientes usan la misma pila: Oracle AI Database 26ai Free en Docker, WildFly 38 sobre Java 21 y el frontend Angular servido por el propio WildFly. Lo que cambia es dónde corren y qué datos tienen. </w:t>
      </w:r>
      <w:r>
        <w:rPr>
          <w:b/>
          <w:lang w:val="es-EC" w:eastAsia="zh-CN" w:bidi="hi-IN"/>
        </w:rPr>
        <w:t>El sistema de oficina no se expone a internet.</w:t>
      </w:r>
      <w:r>
        <w:rPr>
          <w:lang w:val="es-EC" w:eastAsia="zh-CN" w:bidi="hi-IN"/>
        </w:rPr>
        <w:t xml:space="preserve"> Lo único publicado hacia afuera es la capa de la aplicación móvil (</w:t>
      </w:r>
      <w:r>
        <w:rPr>
          <w:rStyle w:val="CodeChar"/>
          <w:lang w:val="es-EC" w:eastAsia="zh-CN" w:bidi="hi-IN"/>
        </w:rPr>
        <w:t>SaaMovilBE</w:t>
      </w:r>
      <w:r>
        <w:rPr>
          <w:lang w:val="es-EC" w:eastAsia="zh-CN" w:bidi="hi-IN"/>
        </w:rPr>
        <w:t>, en el 192.168.2.3), que reenvía cada consulta al backend de producción por la red interna, autenticada con un secreto compartido y sin acceso directo a la base de datos.</w:t>
      </w:r>
    </w:p>
    <w:p>
      <w:pPr>
        <w:pStyle w:val="Normal"/>
        <w:rPr>
          <w:lang w:val="es-EC" w:eastAsia="zh-CN" w:bidi="hi-IN"/>
        </w:rPr>
      </w:pPr>
      <w:r>
        <w:rPr>
          <w:lang w:val="es-EC" w:eastAsia="zh-CN" w:bidi="hi-IN"/>
        </w:rPr>
        <w:drawing>
          <wp:inline distT="0" distB="0" distL="0" distR="0">
            <wp:extent cx="5486400" cy="4988560"/>
            <wp:effectExtent l="0" t="0" r="0" b="0"/>
            <wp:docPr id="1" name="image1" descr="Arquitectura de red · producción, pruebas y desarro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Arquitectura de red · producción, pruebas y desarrollo"/>
                    <pic:cNvPicPr>
                      <a:picLocks noChangeAspect="1" noChangeArrowheads="1"/>
                    </pic:cNvPicPr>
                  </pic:nvPicPr>
                  <pic:blipFill>
                    <a:blip r:embed="rId2"/>
                    <a:stretch>
                      <a:fillRect/>
                    </a:stretch>
                  </pic:blipFill>
                  <pic:spPr bwMode="auto">
                    <a:xfrm>
                      <a:off x="0" y="0"/>
                      <a:ext cx="5486400" cy="4988560"/>
                    </a:xfrm>
                    <a:prstGeom prst="rect">
                      <a:avLst/>
                    </a:prstGeom>
                    <a:noFill/>
                  </pic:spPr>
                </pic:pic>
              </a:graphicData>
            </a:graphic>
          </wp:inline>
        </w:drawing>
      </w:r>
    </w:p>
    <w:p>
      <w:pPr>
        <w:pStyle w:val="Normal"/>
        <w:rPr>
          <w:lang w:val="es-EC" w:eastAsia="zh-CN" w:bidi="hi-IN"/>
        </w:rPr>
      </w:pPr>
      <w:r>
        <w:rPr>
          <w:lang w:val="es-EC" w:eastAsia="zh-CN" w:bidi="hi-IN"/>
        </w:rPr>
        <w:t>Arquitectura de red · producción, pruebas y desarrollo</w:t>
      </w:r>
    </w:p>
    <w:p>
      <w:pPr>
        <w:pStyle w:val="Normal"/>
        <w:rPr>
          <w:lang w:val="es-EC" w:eastAsia="zh-CN" w:bidi="hi-IN"/>
        </w:rPr>
      </w:pPr>
      <w:r>
        <w:rPr>
          <w:lang w:val="es-EC" w:eastAsia="zh-CN" w:bidi="hi-IN"/>
        </w:rPr>
        <w:t>En azul, producción. Las dos copias de pruebas tienen su propia base, sus puertos y su carpeta de archivos, y no comparten nada con producción salvo el servidor físico del 192.168.2.4.</w:t>
      </w:r>
    </w:p>
    <w:p>
      <w:pPr>
        <w:pStyle w:val="Normal"/>
        <w:rPr>
          <w:lang w:val="es-EC" w:eastAsia="zh-CN" w:bidi="hi-IN"/>
        </w:rPr>
      </w:pPr>
      <w:r>
        <w:rPr>
          <w:lang w:val="es-EC" w:eastAsia="zh-CN" w:bidi="hi-IN"/>
        </w:rPr>
      </w:r>
    </w:p>
    <w:p>
      <w:pPr>
        <w:pStyle w:val="Heading3"/>
        <w:rPr>
          <w:lang w:val="es-EC" w:eastAsia="zh-CN" w:bidi="hi-IN"/>
        </w:rPr>
      </w:pPr>
      <w:r>
        <w:rPr>
          <w:lang w:val="es-EC" w:eastAsia="zh-CN" w:bidi="hi-IN"/>
        </w:rPr>
        <w:t xml:space="preserve">5.1. Mapa de red institucional</w:t>
      </w:r>
    </w:p>
    <w:p>
      <w:pPr>
        <w:pStyle w:val="Normal"/>
        <w:rPr>
          <w:lang w:val="es-EC" w:eastAsia="zh-CN" w:bidi="hi-IN"/>
        </w:rPr>
      </w:pPr>
      <w:r>
        <w:rPr>
          <w:lang w:val="es-EC" w:eastAsia="zh-CN" w:bidi="hi-IN"/>
        </w:rPr>
        <w:t xml:space="preserve">El mapa muestra la red de las oficinas de ASOPREP-FCPC, levantada en el ordenamiento del cableado de enero de 2026. La salida a internet es por las IP públicas 186.4.211.24 y 186.4.211.4, que llegan al firewall </w:t>
      </w:r>
      <w:r>
        <w:rPr>
          <w:b/>
          <w:lang w:val="es-EC" w:eastAsia="zh-CN" w:bidi="hi-IN"/>
        </w:rPr>
        <w:t xml:space="preserve">Check Point Spark 1595</w:t>
      </w:r>
      <w:r>
        <w:rPr>
          <w:lang w:val="es-EC" w:eastAsia="zh-CN" w:bidi="hi-IN"/>
        </w:rPr>
        <w:t xml:space="preserve">; el mismo equipo da la VPN de acceso remoto (172.16.10.0/24). Detrás del firewall, el switch core </w:t>
      </w:r>
      <w:r>
        <w:rPr>
          <w:b/>
          <w:lang w:val="es-EC" w:eastAsia="zh-CN" w:bidi="hi-IN"/>
        </w:rPr>
        <w:t xml:space="preserve">Extreme Networks SR400</w:t>
      </w:r>
      <w:r>
        <w:rPr>
          <w:lang w:val="es-EC" w:eastAsia="zh-CN" w:bidi="hi-IN"/>
        </w:rPr>
        <w:t xml:space="preserve"> separa la red en cuatro VLAN.</w:t>
      </w:r>
    </w:p>
    <w:p>
      <w:pPr>
        <w:pStyle w:val="Normal"/>
        <w:rPr>
          <w:lang w:val="es-EC" w:eastAsia="zh-CN" w:bidi="hi-IN"/>
        </w:rPr>
      </w:pPr>
      <w:r>
        <w:rPr>
          <w:lang w:val="es-EC" w:eastAsia="zh-CN" w:bidi="hi-IN"/>
        </w:rPr>
        <w:drawing>
          <wp:inline distT="0" distB="0" distL="0" distR="0">
            <wp:extent cx="5486400" cy="4599237"/>
            <wp:effectExtent l="0" t="0" r="0" b="0"/>
            <wp:docPr id="20" name="image4" descr="Mapa de red institucional · segmentación por VL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4" descr="Mapa de red institucional · segmentación por VLAN"/>
                    <pic:cNvPicPr>
                      <a:picLocks noChangeAspect="1" noChangeArrowheads="1"/>
                    </pic:cNvPicPr>
                  </pic:nvPicPr>
                  <pic:blipFill>
                    <a:blip r:embed="rId20"/>
                    <a:stretch>
                      <a:fillRect/>
                    </a:stretch>
                  </pic:blipFill>
                  <pic:spPr bwMode="auto">
                    <a:xfrm>
                      <a:off x="0" y="0"/>
                      <a:ext cx="5486400" cy="4599237"/>
                    </a:xfrm>
                    <a:prstGeom prst="rect">
                      <a:avLst/>
                    </a:prstGeom>
                    <a:noFill/>
                  </pic:spPr>
                </pic:pic>
              </a:graphicData>
            </a:graphic>
          </wp:inline>
        </w:drawing>
      </w:r>
    </w:p>
    <w:p>
      <w:pPr>
        <w:pStyle w:val="Normal"/>
        <w:rPr>
          <w:lang w:val="es-EC" w:eastAsia="zh-CN" w:bidi="hi-IN"/>
        </w:rPr>
      </w:pPr>
      <w:r>
        <w:rPr>
          <w:lang w:val="es-EC" w:eastAsia="zh-CN" w:bidi="hi-IN"/>
        </w:rPr>
        <w:t xml:space="preserve">Mapa de red institucional · segmentación por VLAN</w:t>
      </w:r>
    </w:p>
    <w:p>
      <w:pPr>
        <w:pStyle w:val="Normal"/>
        <w:rPr>
          <w:lang w:val="es-EC" w:eastAsia="zh-CN" w:bidi="hi-IN"/>
        </w:rPr>
      </w:pPr>
      <w:r>
        <w:rPr>
          <w:b/>
          <w:lang w:val="es-EC" w:eastAsia="zh-CN" w:bidi="hi-IN"/>
        </w:rPr>
        <w:t xml:space="preserve">VLAN 10 – Usuarios: </w:t>
      </w:r>
      <w:r>
        <w:rPr>
          <w:lang w:val="es-EC" w:eastAsia="zh-CN" w:bidi="hi-IN"/>
        </w:rPr>
        <w:t xml:space="preserve">192.168.0.0/24. Equipos de los departamentos administrativos y telefonía (puerta de enlace 192.168.0.21).</w:t>
      </w:r>
    </w:p>
    <w:p>
      <w:pPr>
        <w:pStyle w:val="Normal"/>
        <w:rPr>
          <w:lang w:val="es-EC" w:eastAsia="zh-CN" w:bidi="hi-IN"/>
        </w:rPr>
      </w:pPr>
      <w:r>
        <w:rPr>
          <w:b/>
          <w:lang w:val="es-EC" w:eastAsia="zh-CN" w:bidi="hi-IN"/>
        </w:rPr>
        <w:t xml:space="preserve">VLAN 12 – Servidores: </w:t>
      </w:r>
      <w:r>
        <w:rPr>
          <w:lang w:val="es-EC" w:eastAsia="zh-CN" w:bidi="hi-IN"/>
        </w:rPr>
        <w:t xml:space="preserve">192.168.2.0/24. Aquí están los dos servidores del SAA: SRVDEV2 (192.168.2.4) y SRVDEV1 (192.168.2.3).</w:t>
      </w:r>
    </w:p>
    <w:p>
      <w:pPr>
        <w:pStyle w:val="Normal"/>
        <w:rPr>
          <w:lang w:val="es-EC" w:eastAsia="zh-CN" w:bidi="hi-IN"/>
        </w:rPr>
      </w:pPr>
      <w:r>
        <w:rPr>
          <w:b/>
          <w:lang w:val="es-EC" w:eastAsia="zh-CN" w:bidi="hi-IN"/>
        </w:rPr>
        <w:t xml:space="preserve">VLAN 13 – Red corporativa inalámbrica: </w:t>
      </w:r>
      <w:r>
        <w:rPr>
          <w:lang w:val="es-EC" w:eastAsia="zh-CN" w:bidi="hi-IN"/>
        </w:rPr>
        <w:t xml:space="preserve">192.168.3.0/24, distribuida por los access points Extreme Networks AP305C.</w:t>
      </w:r>
    </w:p>
    <w:p>
      <w:pPr>
        <w:pStyle w:val="Normal"/>
        <w:rPr>
          <w:lang w:val="es-EC" w:eastAsia="zh-CN" w:bidi="hi-IN"/>
        </w:rPr>
      </w:pPr>
      <w:r>
        <w:rPr>
          <w:b/>
          <w:lang w:val="es-EC" w:eastAsia="zh-CN" w:bidi="hi-IN"/>
        </w:rPr>
        <w:t xml:space="preserve">VLAN 14 – Invitados: </w:t>
      </w:r>
      <w:r>
        <w:rPr>
          <w:lang w:val="es-EC" w:eastAsia="zh-CN" w:bidi="hi-IN"/>
        </w:rPr>
        <w:t xml:space="preserve">192.168.4.0/24, inalámbrica, aislada de la red corporativa y de los servidores.</w:t>
      </w:r>
    </w:p>
    <w:p>
      <w:pPr>
        <w:pStyle w:val="Heading3"/>
        <w:rPr>
          <w:lang w:val="es-EC" w:eastAsia="zh-CN" w:bidi="hi-IN"/>
        </w:rPr>
      </w:pPr>
      <w:r>
        <w:rPr>
          <w:lang w:val="es-EC" w:eastAsia="zh-CN" w:bidi="hi-IN"/>
        </w:rPr>
        <w:t>5.2. Ambientes</w:t>
      </w:r>
    </w:p>
    <w:tbl>
      <w:tblPr>
        <w:tblStyle w:val="TableGrid"/>
        <w:tblW w:w="9360" w:type="dxa"/>
        <w:jc w:val="left"/>
        <w:tblInd w:w="0" w:type="dxa"/>
        <w:tblLayout w:type="fixed"/>
        <w:tblCellMar>
          <w:top w:w="0" w:type="dxa"/>
          <w:left w:w="108" w:type="dxa"/>
          <w:bottom w:w="0" w:type="dxa"/>
          <w:right w:w="108" w:type="dxa"/>
        </w:tblCellMar>
        <w:tblLook w:val="0420" w:firstRow="1" w:noVBand="1" w:lastRow="0" w:firstColumn="0" w:lastColumn="0" w:noHBand="0"/>
      </w:tblPr>
      <w:tblGrid>
        <w:gridCol w:w="1620"/>
        <w:gridCol w:w="1741"/>
        <w:gridCol w:w="1385"/>
        <w:gridCol w:w="1839"/>
        <w:gridCol w:w="2775"/>
      </w:tblGrid>
      <w:tr>
        <w:trPr>
          <w:tblHeader w:val="true"/>
        </w:trPr>
        <w:tc>
          <w:tcPr>
            <w:tcW w:w="1620" w:type="dxa"/>
            <w:tcBorders/>
            <w:shd w:color="auto" w:fill="F2F2F2" w:val="clear"/>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Ambiente</w:t>
            </w:r>
          </w:p>
        </w:tc>
        <w:tc>
          <w:tcPr>
            <w:tcW w:w="1741" w:type="dxa"/>
            <w:tcBorders/>
            <w:shd w:color="auto" w:fill="F2F2F2" w:val="clear"/>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Servidor</w:t>
            </w:r>
          </w:p>
        </w:tc>
        <w:tc>
          <w:tcPr>
            <w:tcW w:w="1385" w:type="dxa"/>
            <w:tcBorders/>
            <w:shd w:color="auto" w:fill="F2F2F2" w:val="clear"/>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Base de datos</w:t>
            </w:r>
          </w:p>
        </w:tc>
        <w:tc>
          <w:tcPr>
            <w:tcW w:w="1839" w:type="dxa"/>
            <w:tcBorders/>
            <w:shd w:color="auto" w:fill="F2F2F2" w:val="clear"/>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Aplicación</w:t>
            </w:r>
          </w:p>
        </w:tc>
        <w:tc>
          <w:tcPr>
            <w:tcW w:w="2775" w:type="dxa"/>
            <w:tcBorders/>
            <w:shd w:color="auto" w:fill="F2F2F2" w:val="clear"/>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Datos y uso</w:t>
            </w:r>
          </w:p>
        </w:tc>
      </w:tr>
      <w:tr>
        <w:trPr/>
        <w:tc>
          <w:tcPr>
            <w:tcW w:w="1620" w:type="dxa"/>
            <w:tcBorders/>
          </w:tcPr>
          <w:p>
            <w:pPr>
              <w:pStyle w:val="Normal"/>
              <w:widowControl/>
              <w:suppressAutoHyphens w:val="true"/>
              <w:spacing w:lineRule="auto" w:line="259" w:before="0" w:after="160"/>
              <w:jc w:val="left"/>
              <w:rPr>
                <w:sz w:val="22"/>
                <w:lang w:val="es-EC" w:eastAsia="zh-CN" w:bidi="hi-IN"/>
              </w:rPr>
            </w:pPr>
            <w:r>
              <w:rPr>
                <w:rFonts w:eastAsia="Calibri" w:cs="Calibri"/>
                <w:b/>
                <w:kern w:val="0"/>
                <w:sz w:val="22"/>
                <w:szCs w:val="22"/>
                <w:lang w:val="es-EC" w:eastAsia="zh-CN" w:bidi="hi-IN"/>
              </w:rPr>
              <w:t>Producción</w:t>
            </w:r>
          </w:p>
        </w:tc>
        <w:tc>
          <w:tcPr>
            <w:tcW w:w="1741"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SRVDEV2 · 192.168.2.4</w:t>
            </w:r>
          </w:p>
        </w:tc>
        <w:tc>
          <w:tcPr>
            <w:tcW w:w="1385" w:type="dxa"/>
            <w:tcBorders/>
          </w:tcPr>
          <w:p>
            <w:pPr>
              <w:pStyle w:val="Normal"/>
              <w:widowControl/>
              <w:suppressAutoHyphens w:val="true"/>
              <w:spacing w:lineRule="auto" w:line="259" w:before="0" w:after="160"/>
              <w:jc w:val="left"/>
              <w:rPr>
                <w:sz w:val="22"/>
              </w:rPr>
            </w:pPr>
            <w:r>
              <w:rPr>
                <w:rStyle w:val="CodeChar"/>
                <w:kern w:val="0"/>
                <w:szCs w:val="22"/>
                <w:lang w:val="es-EC" w:eastAsia="zh-CN" w:bidi="hi-IN"/>
              </w:rPr>
              <w:t>saa-oracle-23ai</w:t>
            </w:r>
            <w:r>
              <w:rPr>
                <w:rFonts w:eastAsia="Calibri" w:cs="Calibri"/>
                <w:kern w:val="0"/>
                <w:sz w:val="22"/>
                <w:szCs w:val="22"/>
                <w:lang w:val="es-EC" w:eastAsia="zh-CN" w:bidi="hi-IN"/>
              </w:rPr>
              <w:t xml:space="preserve">, puerto 1521, PDB </w:t>
            </w:r>
            <w:r>
              <w:rPr>
                <w:rStyle w:val="CodeChar"/>
                <w:kern w:val="0"/>
                <w:szCs w:val="22"/>
                <w:lang w:val="es-EC" w:eastAsia="zh-CN" w:bidi="hi-IN"/>
              </w:rPr>
              <w:t>FREEPDB1</w:t>
            </w:r>
          </w:p>
        </w:tc>
        <w:tc>
          <w:tcPr>
            <w:tcW w:w="1839" w:type="dxa"/>
            <w:tcBorders/>
          </w:tcPr>
          <w:p>
            <w:pPr>
              <w:pStyle w:val="Normal"/>
              <w:widowControl/>
              <w:suppressAutoHyphens w:val="true"/>
              <w:spacing w:lineRule="auto" w:line="259" w:before="0" w:after="160"/>
              <w:jc w:val="left"/>
              <w:rPr>
                <w:sz w:val="22"/>
              </w:rPr>
            </w:pPr>
            <w:r>
              <w:rPr>
                <w:rFonts w:eastAsia="Calibri" w:cs="Calibri"/>
                <w:kern w:val="0"/>
                <w:sz w:val="22"/>
                <w:szCs w:val="22"/>
                <w:lang w:val="es-EC" w:eastAsia="zh-CN" w:bidi="hi-IN"/>
              </w:rPr>
              <w:t xml:space="preserve">WildFly </w:t>
            </w:r>
            <w:r>
              <w:rPr>
                <w:rStyle w:val="CodeChar"/>
                <w:kern w:val="0"/>
                <w:szCs w:val="22"/>
                <w:lang w:val="es-EC" w:eastAsia="zh-CN" w:bidi="hi-IN"/>
              </w:rPr>
              <w:t>D:\wildfly38</w:t>
            </w:r>
            <w:r>
              <w:rPr>
                <w:rFonts w:eastAsia="Calibri" w:cs="Calibri"/>
                <w:kern w:val="0"/>
                <w:sz w:val="22"/>
                <w:szCs w:val="22"/>
                <w:lang w:val="es-EC" w:eastAsia="zh-CN" w:bidi="hi-IN"/>
              </w:rPr>
              <w:t xml:space="preserve">, puerto 8080, contexto </w:t>
            </w:r>
            <w:r>
              <w:rPr>
                <w:rStyle w:val="CodeChar"/>
                <w:kern w:val="0"/>
                <w:szCs w:val="22"/>
                <w:lang w:val="es-EC" w:eastAsia="zh-CN" w:bidi="hi-IN"/>
              </w:rPr>
              <w:t>/SaaBE</w:t>
            </w:r>
          </w:p>
        </w:tc>
        <w:tc>
          <w:tcPr>
            <w:tcW w:w="2775" w:type="dxa"/>
            <w:tcBorders/>
          </w:tcPr>
          <w:p>
            <w:pPr>
              <w:pStyle w:val="Normal"/>
              <w:widowControl/>
              <w:suppressAutoHyphens w:val="true"/>
              <w:spacing w:lineRule="auto" w:line="259" w:before="0" w:after="160"/>
              <w:jc w:val="left"/>
              <w:rPr>
                <w:sz w:val="22"/>
              </w:rPr>
            </w:pPr>
            <w:r>
              <w:rPr>
                <w:rFonts w:eastAsia="Calibri" w:cs="Calibri"/>
                <w:kern w:val="0"/>
                <w:sz w:val="22"/>
                <w:szCs w:val="22"/>
                <w:lang w:val="es-EC" w:eastAsia="zh-CN" w:bidi="hi-IN"/>
              </w:rPr>
              <w:t xml:space="preserve">Datos reales; usuarios de la red interna, y la app móvil a través de </w:t>
            </w:r>
            <w:r>
              <w:rPr>
                <w:rStyle w:val="CodeChar"/>
                <w:kern w:val="0"/>
                <w:szCs w:val="22"/>
                <w:lang w:val="es-EC" w:eastAsia="zh-CN" w:bidi="hi-IN"/>
              </w:rPr>
              <w:t>SaaMovilBE</w:t>
            </w:r>
          </w:p>
        </w:tc>
      </w:tr>
      <w:tr>
        <w:trPr/>
        <w:tc>
          <w:tcPr>
            <w:tcW w:w="1620" w:type="dxa"/>
            <w:tcBorders/>
          </w:tcPr>
          <w:p>
            <w:pPr>
              <w:pStyle w:val="Normal"/>
              <w:widowControl/>
              <w:suppressAutoHyphens w:val="true"/>
              <w:spacing w:lineRule="auto" w:line="259" w:before="0" w:after="160"/>
              <w:jc w:val="left"/>
              <w:rPr>
                <w:sz w:val="22"/>
                <w:lang w:val="es-EC" w:eastAsia="zh-CN" w:bidi="hi-IN"/>
              </w:rPr>
            </w:pPr>
            <w:r>
              <w:rPr>
                <w:rFonts w:eastAsia="Calibri" w:cs="Calibri"/>
                <w:b/>
                <w:kern w:val="0"/>
                <w:sz w:val="22"/>
                <w:szCs w:val="22"/>
                <w:lang w:val="es-EC" w:eastAsia="zh-CN" w:bidi="hi-IN"/>
              </w:rPr>
              <w:t>Pruebas «CUADRE»</w:t>
            </w:r>
          </w:p>
        </w:tc>
        <w:tc>
          <w:tcPr>
            <w:tcW w:w="1741"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SRVDEV2, aislado de producción</w:t>
            </w:r>
          </w:p>
        </w:tc>
        <w:tc>
          <w:tcPr>
            <w:tcW w:w="1385" w:type="dxa"/>
            <w:tcBorders/>
          </w:tcPr>
          <w:p>
            <w:pPr>
              <w:pStyle w:val="Normal"/>
              <w:widowControl/>
              <w:suppressAutoHyphens w:val="true"/>
              <w:spacing w:lineRule="auto" w:line="259" w:before="0" w:after="160"/>
              <w:jc w:val="left"/>
              <w:rPr>
                <w:sz w:val="22"/>
              </w:rPr>
            </w:pPr>
            <w:r>
              <w:rPr>
                <w:rStyle w:val="CodeChar"/>
                <w:kern w:val="0"/>
                <w:szCs w:val="22"/>
                <w:lang w:val="es-EC" w:eastAsia="zh-CN" w:bidi="hi-IN"/>
              </w:rPr>
              <w:t>saa-pruebas</w:t>
            </w:r>
            <w:r>
              <w:rPr>
                <w:rFonts w:eastAsia="Calibri" w:cs="Calibri"/>
                <w:kern w:val="0"/>
                <w:sz w:val="22"/>
                <w:szCs w:val="22"/>
                <w:lang w:val="es-EC" w:eastAsia="zh-CN" w:bidi="hi-IN"/>
              </w:rPr>
              <w:t>, puerto 1531, volumen propio</w:t>
            </w:r>
          </w:p>
        </w:tc>
        <w:tc>
          <w:tcPr>
            <w:tcW w:w="1839" w:type="dxa"/>
            <w:tcBorders/>
          </w:tcPr>
          <w:p>
            <w:pPr>
              <w:pStyle w:val="Normal"/>
              <w:widowControl/>
              <w:suppressAutoHyphens w:val="true"/>
              <w:spacing w:lineRule="auto" w:line="259" w:before="0" w:after="160"/>
              <w:jc w:val="left"/>
              <w:rPr>
                <w:sz w:val="22"/>
              </w:rPr>
            </w:pPr>
            <w:r>
              <w:rPr>
                <w:rFonts w:eastAsia="Calibri" w:cs="Calibri"/>
                <w:kern w:val="0"/>
                <w:sz w:val="22"/>
                <w:szCs w:val="22"/>
                <w:lang w:val="es-EC" w:eastAsia="zh-CN" w:bidi="hi-IN"/>
              </w:rPr>
              <w:t xml:space="preserve">WildFly </w:t>
            </w:r>
            <w:r>
              <w:rPr>
                <w:rStyle w:val="CodeChar"/>
                <w:kern w:val="0"/>
                <w:szCs w:val="22"/>
                <w:lang w:val="es-EC" w:eastAsia="zh-CN" w:bidi="hi-IN"/>
              </w:rPr>
              <w:t>D:\wildfly38-pruebas</w:t>
            </w:r>
            <w:r>
              <w:rPr>
                <w:rFonts w:eastAsia="Calibri" w:cs="Calibri"/>
                <w:kern w:val="0"/>
                <w:sz w:val="22"/>
                <w:szCs w:val="22"/>
                <w:lang w:val="es-EC" w:eastAsia="zh-CN" w:bidi="hi-IN"/>
              </w:rPr>
              <w:t>, puerto 8180</w:t>
            </w:r>
          </w:p>
        </w:tc>
        <w:tc>
          <w:tcPr>
            <w:tcW w:w="2775"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Copia de producción; Contabilidad, para el cuadre regulatorio</w:t>
            </w:r>
          </w:p>
        </w:tc>
      </w:tr>
      <w:tr>
        <w:trPr/>
        <w:tc>
          <w:tcPr>
            <w:tcW w:w="1620" w:type="dxa"/>
            <w:tcBorders/>
          </w:tcPr>
          <w:p>
            <w:pPr>
              <w:pStyle w:val="Normal"/>
              <w:widowControl/>
              <w:suppressAutoHyphens w:val="true"/>
              <w:spacing w:lineRule="auto" w:line="259" w:before="0" w:after="160"/>
              <w:jc w:val="left"/>
              <w:rPr>
                <w:sz w:val="22"/>
                <w:lang w:val="es-EC" w:eastAsia="zh-CN" w:bidi="hi-IN"/>
              </w:rPr>
            </w:pPr>
            <w:r>
              <w:rPr>
                <w:rFonts w:eastAsia="Calibri" w:cs="Calibri"/>
                <w:b/>
                <w:kern w:val="0"/>
                <w:sz w:val="22"/>
                <w:szCs w:val="22"/>
                <w:lang w:val="es-EC" w:eastAsia="zh-CN" w:bidi="hi-IN"/>
              </w:rPr>
              <w:t>Pruebas</w:t>
            </w:r>
          </w:p>
        </w:tc>
        <w:tc>
          <w:tcPr>
            <w:tcW w:w="1741"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SRVDEV1 · 192.168.2.3</w:t>
            </w:r>
          </w:p>
        </w:tc>
        <w:tc>
          <w:tcPr>
            <w:tcW w:w="1385" w:type="dxa"/>
            <w:tcBorders/>
          </w:tcPr>
          <w:p>
            <w:pPr>
              <w:pStyle w:val="Normal"/>
              <w:widowControl/>
              <w:suppressAutoHyphens w:val="true"/>
              <w:spacing w:lineRule="auto" w:line="259" w:before="0" w:after="160"/>
              <w:jc w:val="left"/>
              <w:rPr>
                <w:sz w:val="22"/>
              </w:rPr>
            </w:pPr>
            <w:r>
              <w:rPr>
                <w:rStyle w:val="CodeChar"/>
                <w:kern w:val="0"/>
                <w:szCs w:val="22"/>
                <w:lang w:val="es-EC" w:eastAsia="zh-CN" w:bidi="hi-IN"/>
              </w:rPr>
              <w:t>saa-pruebas</w:t>
            </w:r>
            <w:r>
              <w:rPr>
                <w:rFonts w:eastAsia="Calibri" w:cs="Calibri"/>
                <w:kern w:val="0"/>
                <w:sz w:val="22"/>
                <w:szCs w:val="22"/>
                <w:lang w:val="es-EC" w:eastAsia="zh-CN" w:bidi="hi-IN"/>
              </w:rPr>
              <w:t>, puerto 1531, clonada desde producción</w:t>
            </w:r>
          </w:p>
        </w:tc>
        <w:tc>
          <w:tcPr>
            <w:tcW w:w="1839" w:type="dxa"/>
            <w:tcBorders/>
          </w:tcPr>
          <w:p>
            <w:pPr>
              <w:pStyle w:val="Normal"/>
              <w:widowControl/>
              <w:suppressAutoHyphens w:val="true"/>
              <w:spacing w:lineRule="auto" w:line="259" w:before="0" w:after="160"/>
              <w:jc w:val="left"/>
              <w:rPr>
                <w:sz w:val="22"/>
              </w:rPr>
            </w:pPr>
            <w:r>
              <w:rPr>
                <w:rFonts w:eastAsia="Calibri" w:cs="Calibri"/>
                <w:kern w:val="0"/>
                <w:sz w:val="22"/>
                <w:szCs w:val="22"/>
                <w:lang w:val="es-EC" w:eastAsia="zh-CN" w:bidi="hi-IN"/>
              </w:rPr>
              <w:t xml:space="preserve">WildFly </w:t>
            </w:r>
            <w:r>
              <w:rPr>
                <w:rStyle w:val="CodeChar"/>
                <w:kern w:val="0"/>
                <w:szCs w:val="22"/>
                <w:lang w:val="es-EC" w:eastAsia="zh-CN" w:bidi="hi-IN"/>
              </w:rPr>
              <w:t>D:\wildfly38-pruebas</w:t>
            </w:r>
            <w:r>
              <w:rPr>
                <w:rFonts w:eastAsia="Calibri" w:cs="Calibri"/>
                <w:kern w:val="0"/>
                <w:sz w:val="22"/>
                <w:szCs w:val="22"/>
                <w:lang w:val="es-EC" w:eastAsia="zh-CN" w:bidi="hi-IN"/>
              </w:rPr>
              <w:t>, puerto 8180</w:t>
            </w:r>
          </w:p>
        </w:tc>
        <w:tc>
          <w:tcPr>
            <w:tcW w:w="2775"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Copia de producción con la empresa «ASOPREP PRUEBAS»; validación de versiones</w:t>
            </w:r>
          </w:p>
        </w:tc>
      </w:tr>
      <w:tr>
        <w:trPr/>
        <w:tc>
          <w:tcPr>
            <w:tcW w:w="1620" w:type="dxa"/>
            <w:tcBorders/>
          </w:tcPr>
          <w:p>
            <w:pPr>
              <w:pStyle w:val="Normal"/>
              <w:widowControl/>
              <w:suppressAutoHyphens w:val="true"/>
              <w:spacing w:lineRule="auto" w:line="259" w:before="0" w:after="160"/>
              <w:jc w:val="left"/>
              <w:rPr>
                <w:sz w:val="22"/>
                <w:lang w:val="es-EC" w:eastAsia="zh-CN" w:bidi="hi-IN"/>
              </w:rPr>
            </w:pPr>
            <w:r>
              <w:rPr>
                <w:rFonts w:eastAsia="Calibri" w:cs="Calibri"/>
                <w:b/>
                <w:kern w:val="0"/>
                <w:sz w:val="22"/>
                <w:szCs w:val="22"/>
                <w:lang w:val="es-EC" w:eastAsia="zh-CN" w:bidi="hi-IN"/>
              </w:rPr>
              <w:t>Publicación de la app móvil</w:t>
            </w:r>
          </w:p>
        </w:tc>
        <w:tc>
          <w:tcPr>
            <w:tcW w:w="1741"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SRVDEV1 · 192.168.2.3</w:t>
            </w:r>
          </w:p>
        </w:tc>
        <w:tc>
          <w:tcPr>
            <w:tcW w:w="1385"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Ninguna</w:t>
            </w:r>
          </w:p>
        </w:tc>
        <w:tc>
          <w:tcPr>
            <w:tcW w:w="1839" w:type="dxa"/>
            <w:tcBorders/>
          </w:tcPr>
          <w:p>
            <w:pPr>
              <w:pStyle w:val="Normal"/>
              <w:widowControl/>
              <w:suppressAutoHyphens w:val="true"/>
              <w:spacing w:lineRule="auto" w:line="259" w:before="0" w:after="160"/>
              <w:jc w:val="left"/>
              <w:rPr>
                <w:sz w:val="22"/>
              </w:rPr>
            </w:pPr>
            <w:r>
              <w:rPr>
                <w:rFonts w:eastAsia="Calibri" w:cs="Calibri"/>
                <w:kern w:val="0"/>
                <w:sz w:val="22"/>
                <w:szCs w:val="22"/>
                <w:lang w:val="es-EC" w:eastAsia="zh-CN" w:bidi="hi-IN"/>
              </w:rPr>
              <w:t xml:space="preserve">Caddy (HTTPS 443) y WildFly </w:t>
            </w:r>
            <w:r>
              <w:rPr>
                <w:rStyle w:val="CodeChar"/>
                <w:kern w:val="0"/>
                <w:szCs w:val="22"/>
                <w:lang w:val="es-EC" w:eastAsia="zh-CN" w:bidi="hi-IN"/>
              </w:rPr>
              <w:t>D:\wildfly38</w:t>
            </w:r>
            <w:r>
              <w:rPr>
                <w:rFonts w:eastAsia="Calibri" w:cs="Calibri"/>
                <w:kern w:val="0"/>
                <w:sz w:val="22"/>
                <w:szCs w:val="22"/>
                <w:lang w:val="es-EC" w:eastAsia="zh-CN" w:bidi="hi-IN"/>
              </w:rPr>
              <w:t xml:space="preserve"> con </w:t>
            </w:r>
            <w:r>
              <w:rPr>
                <w:rStyle w:val="CodeChar"/>
                <w:kern w:val="0"/>
                <w:szCs w:val="22"/>
                <w:lang w:val="es-EC" w:eastAsia="zh-CN" w:bidi="hi-IN"/>
              </w:rPr>
              <w:t>SaaMovilBE</w:t>
            </w:r>
            <w:r>
              <w:rPr>
                <w:rFonts w:eastAsia="Calibri" w:cs="Calibri"/>
                <w:kern w:val="0"/>
                <w:sz w:val="22"/>
                <w:szCs w:val="22"/>
                <w:lang w:val="es-EC" w:eastAsia="zh-CN" w:bidi="hi-IN"/>
              </w:rPr>
              <w:t xml:space="preserve"> (puerto 8080)</w:t>
            </w:r>
          </w:p>
        </w:tc>
        <w:tc>
          <w:tcPr>
            <w:tcW w:w="2775"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Reenvía las consultas de la app a producción</w:t>
            </w:r>
          </w:p>
        </w:tc>
      </w:tr>
    </w:tbl>
    <w:p>
      <w:pPr>
        <w:pStyle w:val="Heading3"/>
        <w:rPr>
          <w:lang w:val="es-EC" w:eastAsia="zh-CN" w:bidi="hi-IN"/>
        </w:rPr>
      </w:pPr>
      <w:r>
        <w:rPr>
          <w:lang w:val="es-EC" w:eastAsia="zh-CN" w:bidi="hi-IN"/>
        </w:rPr>
        <w:t>5.3. Puertos y flujos de red</w:t>
      </w:r>
    </w:p>
    <w:tbl>
      <w:tblPr>
        <w:tblStyle w:val="TableGrid"/>
        <w:tblW w:w="9360" w:type="dxa"/>
        <w:jc w:val="left"/>
        <w:tblInd w:w="0" w:type="dxa"/>
        <w:tblLayout w:type="fixed"/>
        <w:tblCellMar>
          <w:top w:w="0" w:type="dxa"/>
          <w:left w:w="108" w:type="dxa"/>
          <w:bottom w:w="0" w:type="dxa"/>
          <w:right w:w="108" w:type="dxa"/>
        </w:tblCellMar>
        <w:tblLook w:val="0420" w:firstRow="1" w:noVBand="1" w:lastRow="0" w:firstColumn="0" w:lastColumn="0" w:noHBand="0"/>
      </w:tblPr>
      <w:tblGrid>
        <w:gridCol w:w="1945"/>
        <w:gridCol w:w="2340"/>
        <w:gridCol w:w="1853"/>
        <w:gridCol w:w="3222"/>
      </w:tblGrid>
      <w:tr>
        <w:trPr>
          <w:tblHeader w:val="true"/>
        </w:trPr>
        <w:tc>
          <w:tcPr>
            <w:tcW w:w="1945" w:type="dxa"/>
            <w:tcBorders/>
            <w:shd w:color="auto" w:fill="F2F2F2" w:val="clear"/>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Origen</w:t>
            </w:r>
          </w:p>
        </w:tc>
        <w:tc>
          <w:tcPr>
            <w:tcW w:w="2340" w:type="dxa"/>
            <w:tcBorders/>
            <w:shd w:color="auto" w:fill="F2F2F2" w:val="clear"/>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Destino</w:t>
            </w:r>
          </w:p>
        </w:tc>
        <w:tc>
          <w:tcPr>
            <w:tcW w:w="1853" w:type="dxa"/>
            <w:tcBorders/>
            <w:shd w:color="auto" w:fill="F2F2F2" w:val="clear"/>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Puerto</w:t>
            </w:r>
          </w:p>
        </w:tc>
        <w:tc>
          <w:tcPr>
            <w:tcW w:w="3222" w:type="dxa"/>
            <w:tcBorders/>
            <w:shd w:color="auto" w:fill="F2F2F2" w:val="clear"/>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Para qué</w:t>
            </w:r>
          </w:p>
        </w:tc>
      </w:tr>
      <w:tr>
        <w:trPr/>
        <w:tc>
          <w:tcPr>
            <w:tcW w:w="1945"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Estaciones de la red interna</w:t>
            </w:r>
          </w:p>
        </w:tc>
        <w:tc>
          <w:tcPr>
            <w:tcW w:w="2340"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SRVDEV2</w:t>
            </w:r>
          </w:p>
        </w:tc>
        <w:tc>
          <w:tcPr>
            <w:tcW w:w="1853"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8080 (HTTP)</w:t>
            </w:r>
          </w:p>
        </w:tc>
        <w:tc>
          <w:tcPr>
            <w:tcW w:w="3222" w:type="dxa"/>
            <w:tcBorders/>
          </w:tcPr>
          <w:p>
            <w:pPr>
              <w:pStyle w:val="Normal"/>
              <w:widowControl/>
              <w:suppressAutoHyphens w:val="true"/>
              <w:spacing w:lineRule="auto" w:line="259" w:before="0" w:after="160"/>
              <w:jc w:val="left"/>
              <w:rPr>
                <w:sz w:val="22"/>
              </w:rPr>
            </w:pPr>
            <w:r>
              <w:rPr>
                <w:rFonts w:eastAsia="Calibri" w:cs="Calibri"/>
                <w:kern w:val="0"/>
                <w:sz w:val="22"/>
                <w:szCs w:val="22"/>
                <w:lang w:val="es-EC" w:eastAsia="zh-CN" w:bidi="hi-IN"/>
              </w:rPr>
              <w:t xml:space="preserve">Uso del SAA: frontend y API </w:t>
            </w:r>
            <w:r>
              <w:rPr>
                <w:rStyle w:val="CodeChar"/>
                <w:kern w:val="0"/>
                <w:szCs w:val="22"/>
                <w:lang w:val="es-EC" w:eastAsia="zh-CN" w:bidi="hi-IN"/>
              </w:rPr>
              <w:t>/SaaBE/rest</w:t>
            </w:r>
          </w:p>
        </w:tc>
      </w:tr>
      <w:tr>
        <w:trPr/>
        <w:tc>
          <w:tcPr>
            <w:tcW w:w="1945"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Estaciones de la red interna</w:t>
            </w:r>
          </w:p>
        </w:tc>
        <w:tc>
          <w:tcPr>
            <w:tcW w:w="2340"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SRVDEV2 y SRVDEV1</w:t>
            </w:r>
          </w:p>
        </w:tc>
        <w:tc>
          <w:tcPr>
            <w:tcW w:w="1853"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8180 (HTTP)</w:t>
            </w:r>
          </w:p>
        </w:tc>
        <w:tc>
          <w:tcPr>
            <w:tcW w:w="3222"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Ambientes de pruebas</w:t>
            </w:r>
          </w:p>
        </w:tc>
      </w:tr>
      <w:tr>
        <w:trPr/>
        <w:tc>
          <w:tcPr>
            <w:tcW w:w="1945"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Internet (app móvil)</w:t>
            </w:r>
          </w:p>
        </w:tc>
        <w:tc>
          <w:tcPr>
            <w:tcW w:w="2340"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SRVDEV1, Caddy</w:t>
            </w:r>
          </w:p>
        </w:tc>
        <w:tc>
          <w:tcPr>
            <w:tcW w:w="1853"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443 (HTTPS)</w:t>
            </w:r>
          </w:p>
        </w:tc>
        <w:tc>
          <w:tcPr>
            <w:tcW w:w="3222"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 xml:space="preserve">Consultas de los partícipes. </w:t>
            </w:r>
            <w:r>
              <w:rPr>
                <w:rFonts w:eastAsia="Calibri" w:cs="Calibri"/>
                <w:b/>
                <w:kern w:val="0"/>
                <w:sz w:val="22"/>
                <w:szCs w:val="22"/>
                <w:lang w:val="es-EC" w:eastAsia="zh-CN" w:bidi="hi-IN"/>
              </w:rPr>
              <w:t>Pendiente</w:t>
            </w:r>
            <w:r>
              <w:rPr>
                <w:rFonts w:eastAsia="Calibri" w:cs="Calibri"/>
                <w:kern w:val="0"/>
                <w:sz w:val="22"/>
                <w:szCs w:val="22"/>
                <w:lang w:val="es-EC" w:eastAsia="zh-CN" w:bidi="hi-IN"/>
              </w:rPr>
              <w:t>: IP pública enrutada</w:t>
            </w:r>
          </w:p>
        </w:tc>
      </w:tr>
      <w:tr>
        <w:trPr/>
        <w:tc>
          <w:tcPr>
            <w:tcW w:w="1945" w:type="dxa"/>
            <w:tcBorders/>
          </w:tcPr>
          <w:p>
            <w:pPr>
              <w:pStyle w:val="Normal"/>
              <w:widowControl/>
              <w:suppressAutoHyphens w:val="true"/>
              <w:spacing w:lineRule="auto" w:line="259" w:before="0" w:after="160"/>
              <w:jc w:val="left"/>
              <w:rPr>
                <w:sz w:val="22"/>
              </w:rPr>
            </w:pPr>
            <w:r>
              <w:rPr>
                <w:rFonts w:eastAsia="Calibri" w:cs="Calibri"/>
                <w:kern w:val="0"/>
                <w:sz w:val="22"/>
                <w:szCs w:val="22"/>
                <w:lang w:val="es-EC" w:eastAsia="zh-CN" w:bidi="hi-IN"/>
              </w:rPr>
              <w:t>SRVDEV1 (</w:t>
            </w:r>
            <w:r>
              <w:rPr>
                <w:rStyle w:val="CodeChar"/>
                <w:kern w:val="0"/>
                <w:szCs w:val="22"/>
                <w:lang w:val="es-EC" w:eastAsia="zh-CN" w:bidi="hi-IN"/>
              </w:rPr>
              <w:t>SaaMovilBE</w:t>
            </w:r>
            <w:r>
              <w:rPr>
                <w:rFonts w:eastAsia="Calibri" w:cs="Calibri"/>
                <w:kern w:val="0"/>
                <w:sz w:val="22"/>
                <w:szCs w:val="22"/>
                <w:lang w:val="es-EC" w:eastAsia="zh-CN" w:bidi="hi-IN"/>
              </w:rPr>
              <w:t>)</w:t>
            </w:r>
          </w:p>
        </w:tc>
        <w:tc>
          <w:tcPr>
            <w:tcW w:w="2340"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SRVDEV2</w:t>
            </w:r>
          </w:p>
        </w:tc>
        <w:tc>
          <w:tcPr>
            <w:tcW w:w="1853"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8080 (HTTP interno + secreto compartido)</w:t>
            </w:r>
          </w:p>
        </w:tc>
        <w:tc>
          <w:tcPr>
            <w:tcW w:w="3222" w:type="dxa"/>
            <w:tcBorders/>
          </w:tcPr>
          <w:p>
            <w:pPr>
              <w:pStyle w:val="Normal"/>
              <w:widowControl/>
              <w:suppressAutoHyphens w:val="true"/>
              <w:spacing w:lineRule="auto" w:line="259" w:before="0" w:after="160"/>
              <w:jc w:val="left"/>
              <w:rPr>
                <w:sz w:val="22"/>
              </w:rPr>
            </w:pPr>
            <w:r>
              <w:rPr>
                <w:rFonts w:eastAsia="Calibri" w:cs="Calibri"/>
                <w:kern w:val="0"/>
                <w:sz w:val="22"/>
                <w:szCs w:val="22"/>
                <w:lang w:val="es-EC" w:eastAsia="zh-CN" w:bidi="hi-IN"/>
              </w:rPr>
              <w:t xml:space="preserve">Reenvío a </w:t>
            </w:r>
            <w:r>
              <w:rPr>
                <w:rStyle w:val="CodeChar"/>
                <w:kern w:val="0"/>
                <w:szCs w:val="22"/>
                <w:lang w:val="es-EC" w:eastAsia="zh-CN" w:bidi="hi-IN"/>
              </w:rPr>
              <w:t>/SaaBE/movil</w:t>
            </w:r>
          </w:p>
        </w:tc>
      </w:tr>
      <w:tr>
        <w:trPr/>
        <w:tc>
          <w:tcPr>
            <w:tcW w:w="1945"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WildFly</w:t>
            </w:r>
          </w:p>
        </w:tc>
        <w:tc>
          <w:tcPr>
            <w:tcW w:w="2340"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Oracle, en el mismo servidor</w:t>
            </w:r>
          </w:p>
        </w:tc>
        <w:tc>
          <w:tcPr>
            <w:tcW w:w="1853"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1521 / 1531 (JDBC)</w:t>
            </w:r>
          </w:p>
        </w:tc>
        <w:tc>
          <w:tcPr>
            <w:tcW w:w="3222" w:type="dxa"/>
            <w:tcBorders/>
          </w:tcPr>
          <w:p>
            <w:pPr>
              <w:pStyle w:val="Normal"/>
              <w:widowControl/>
              <w:suppressAutoHyphens w:val="true"/>
              <w:spacing w:lineRule="auto" w:line="259" w:before="0" w:after="160"/>
              <w:jc w:val="left"/>
              <w:rPr>
                <w:sz w:val="22"/>
              </w:rPr>
            </w:pPr>
            <w:r>
              <w:rPr>
                <w:rFonts w:eastAsia="Calibri" w:cs="Calibri"/>
                <w:kern w:val="0"/>
                <w:sz w:val="22"/>
                <w:szCs w:val="22"/>
                <w:lang w:val="es-EC" w:eastAsia="zh-CN" w:bidi="hi-IN"/>
              </w:rPr>
              <w:t xml:space="preserve">Datasource </w:t>
            </w:r>
            <w:r>
              <w:rPr>
                <w:rStyle w:val="CodeChar"/>
                <w:kern w:val="0"/>
                <w:szCs w:val="22"/>
                <w:lang w:val="es-EC" w:eastAsia="zh-CN" w:bidi="hi-IN"/>
              </w:rPr>
              <w:t>java:/jdbc/SaaDS</w:t>
            </w:r>
          </w:p>
        </w:tc>
      </w:tr>
      <w:tr>
        <w:trPr/>
        <w:tc>
          <w:tcPr>
            <w:tcW w:w="1945"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SRVDEV1</w:t>
            </w:r>
          </w:p>
        </w:tc>
        <w:tc>
          <w:tcPr>
            <w:tcW w:w="2340"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SRVDEV2</w:t>
            </w:r>
          </w:p>
        </w:tc>
        <w:tc>
          <w:tcPr>
            <w:tcW w:w="1853"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1521 (Oracle Net)</w:t>
            </w:r>
          </w:p>
        </w:tc>
        <w:tc>
          <w:tcPr>
            <w:tcW w:w="3222"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Clonado de producción a pruebas, a demanda</w:t>
            </w:r>
          </w:p>
        </w:tc>
      </w:tr>
      <w:tr>
        <w:trPr/>
        <w:tc>
          <w:tcPr>
            <w:tcW w:w="1945"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SRVDEV2</w:t>
            </w:r>
          </w:p>
        </w:tc>
        <w:tc>
          <w:tcPr>
            <w:tcW w:w="2340" w:type="dxa"/>
            <w:tcBorders/>
          </w:tcPr>
          <w:p>
            <w:pPr>
              <w:pStyle w:val="Normal"/>
              <w:widowControl/>
              <w:suppressAutoHyphens w:val="true"/>
              <w:spacing w:lineRule="auto" w:line="259" w:before="0" w:after="160"/>
              <w:jc w:val="left"/>
              <w:rPr>
                <w:sz w:val="22"/>
              </w:rPr>
            </w:pPr>
            <w:r>
              <w:rPr>
                <w:rFonts w:eastAsia="Calibri" w:cs="Calibri"/>
                <w:kern w:val="0"/>
                <w:sz w:val="22"/>
                <w:szCs w:val="22"/>
                <w:lang w:val="es-EC" w:eastAsia="zh-CN" w:bidi="hi-IN"/>
              </w:rPr>
              <w:t>SRI (</w:t>
            </w:r>
            <w:r>
              <w:rPr>
                <w:rStyle w:val="CodeChar"/>
                <w:kern w:val="0"/>
                <w:szCs w:val="22"/>
                <w:lang w:val="es-EC" w:eastAsia="zh-CN" w:bidi="hi-IN"/>
              </w:rPr>
              <w:t>cel.sri.gob.ec</w:t>
            </w:r>
            <w:r>
              <w:rPr>
                <w:rFonts w:eastAsia="Calibri" w:cs="Calibri"/>
                <w:kern w:val="0"/>
                <w:sz w:val="22"/>
                <w:szCs w:val="22"/>
                <w:lang w:val="es-EC" w:eastAsia="zh-CN" w:bidi="hi-IN"/>
              </w:rPr>
              <w:t>)</w:t>
            </w:r>
          </w:p>
        </w:tc>
        <w:tc>
          <w:tcPr>
            <w:tcW w:w="1853"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443 (HTTPS)</w:t>
            </w:r>
          </w:p>
        </w:tc>
        <w:tc>
          <w:tcPr>
            <w:tcW w:w="3222"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Recepción y autorización de comprobantes electrónicos</w:t>
            </w:r>
          </w:p>
        </w:tc>
      </w:tr>
      <w:tr>
        <w:trPr/>
        <w:tc>
          <w:tcPr>
            <w:tcW w:w="1945"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SRVDEV2</w:t>
            </w:r>
          </w:p>
        </w:tc>
        <w:tc>
          <w:tcPr>
            <w:tcW w:w="2340" w:type="dxa"/>
            <w:tcBorders/>
          </w:tcPr>
          <w:p>
            <w:pPr>
              <w:pStyle w:val="Normal"/>
              <w:widowControl/>
              <w:suppressAutoHyphens w:val="true"/>
              <w:spacing w:lineRule="auto" w:line="259" w:before="0" w:after="160"/>
              <w:jc w:val="left"/>
              <w:rPr>
                <w:sz w:val="22"/>
              </w:rPr>
            </w:pPr>
            <w:r>
              <w:rPr>
                <w:rStyle w:val="CodeChar"/>
                <w:kern w:val="0"/>
                <w:szCs w:val="22"/>
                <w:lang w:val="es-EC" w:eastAsia="zh-CN" w:bidi="hi-IN"/>
              </w:rPr>
              <w:t>smtp.office365.com</w:t>
            </w:r>
          </w:p>
        </w:tc>
        <w:tc>
          <w:tcPr>
            <w:tcW w:w="1853"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587 (SMTP con STARTTLS)</w:t>
            </w:r>
          </w:p>
        </w:tc>
        <w:tc>
          <w:tcPr>
            <w:tcW w:w="3222"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Envío de comprobantes a clientes</w:t>
            </w:r>
          </w:p>
        </w:tc>
      </w:tr>
      <w:tr>
        <w:trPr/>
        <w:tc>
          <w:tcPr>
            <w:tcW w:w="1945"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Administradores</w:t>
            </w:r>
          </w:p>
        </w:tc>
        <w:tc>
          <w:tcPr>
            <w:tcW w:w="2340"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SRVDEV2 y SRVDEV1</w:t>
            </w:r>
          </w:p>
        </w:tc>
        <w:tc>
          <w:tcPr>
            <w:tcW w:w="1853"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3389 (escritorio remoto)</w:t>
            </w:r>
          </w:p>
        </w:tc>
        <w:tc>
          <w:tcPr>
            <w:tcW w:w="3222"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Administración y despliegue</w:t>
            </w:r>
          </w:p>
        </w:tc>
      </w:tr>
    </w:tbl>
    <w:p>
      <w:pPr>
        <w:pStyle w:val="Normal"/>
        <w:rPr>
          <w:lang w:val="es-EC" w:eastAsia="zh-CN" w:bidi="hi-IN"/>
        </w:rPr>
      </w:pPr>
      <w:r>
        <w:rPr>
          <w:lang w:val="es-EC" w:eastAsia="zh-CN" w:bidi="hi-IN"/>
        </w:rPr>
        <w:t>Además, en SRVDEV2 escuchan la consola web de Oracle (5500) y la aplicación ajena WampServer (80, 8085, 3306 y 3307); en SRVDEV1, el puerto 80 de Caddy.</w:t>
      </w:r>
    </w:p>
    <w:p>
      <w:pPr>
        <w:pStyle w:val="Normal"/>
        <w:rPr>
          <w:lang w:val="es-EC" w:eastAsia="zh-CN" w:bidi="hi-IN"/>
        </w:rPr>
      </w:pPr>
      <w:r>
        <w:rPr>
          <w:lang w:val="es-EC" w:eastAsia="zh-CN" w:bidi="hi-IN"/>
        </w:rPr>
        <w:t xml:space="preserve">Los pagos a bancos (Banco Internacional, Banco del Pacífico) y la carga de descuentos de Petrocomercial </w:t>
      </w:r>
      <w:r>
        <w:rPr>
          <w:b/>
          <w:lang w:val="es-EC" w:eastAsia="zh-CN" w:bidi="hi-IN"/>
        </w:rPr>
        <w:t>no usan conexión en línea</w:t>
      </w:r>
      <w:r>
        <w:rPr>
          <w:lang w:val="es-EC" w:eastAsia="zh-CN" w:bidi="hi-IN"/>
        </w:rPr>
        <w:t>. El SAA genera o recibe archivos y el usuario autorizado los carga o descarga en la banca web o los entrega por el canal acordado.</w:t>
      </w:r>
    </w:p>
    <w:p>
      <w:pPr>
        <w:pStyle w:val="Heading3"/>
        <w:rPr>
          <w:lang w:val="es-EC" w:eastAsia="zh-CN" w:bidi="hi-IN"/>
        </w:rPr>
      </w:pPr>
      <w:r>
        <w:rPr>
          <w:lang w:val="es-EC" w:eastAsia="zh-CN" w:bidi="hi-IN"/>
        </w:rPr>
        <w:t>5.4. Promoción de cambios</w:t>
      </w:r>
    </w:p>
    <w:p>
      <w:pPr>
        <w:pStyle w:val="ListParagraph"/>
        <w:numPr>
          <w:ilvl w:val="0"/>
          <w:numId w:val="5"/>
        </w:numPr>
        <w:rPr/>
      </w:pPr>
      <w:r>
        <w:rPr>
          <w:lang w:val="es-EC" w:eastAsia="zh-CN" w:bidi="hi-IN"/>
        </w:rPr>
        <w:t>El proveedor desarrolla y compila en su ambiente.</w:t>
      </w:r>
    </w:p>
    <w:p>
      <w:pPr>
        <w:pStyle w:val="ListParagraph"/>
        <w:numPr>
          <w:ilvl w:val="0"/>
          <w:numId w:val="3"/>
        </w:numPr>
        <w:rPr/>
      </w:pPr>
      <w:r>
        <w:rPr>
          <w:lang w:val="es-EC" w:eastAsia="zh-CN" w:bidi="hi-IN"/>
        </w:rPr>
        <w:t xml:space="preserve">Los cambios de base de datos se entregan como scripts </w:t>
      </w:r>
      <w:r>
        <w:rPr>
          <w:rStyle w:val="CodeChar"/>
          <w:lang w:val="es-EC" w:eastAsia="zh-CN" w:bidi="hi-IN"/>
        </w:rPr>
        <w:t>.sql</w:t>
      </w:r>
      <w:r>
        <w:rPr>
          <w:lang w:val="es-EC" w:eastAsia="zh-CN" w:bidi="hi-IN"/>
        </w:rPr>
        <w:t xml:space="preserve"> con controles antes y después, y bloque de reverso.</w:t>
      </w:r>
    </w:p>
    <w:p>
      <w:pPr>
        <w:pStyle w:val="ListParagraph"/>
        <w:numPr>
          <w:ilvl w:val="0"/>
          <w:numId w:val="3"/>
        </w:numPr>
        <w:rPr>
          <w:lang w:val="es-EC" w:eastAsia="zh-CN" w:bidi="hi-IN"/>
        </w:rPr>
      </w:pPr>
      <w:r>
        <w:rPr>
          <w:lang w:val="es-EC" w:eastAsia="zh-CN" w:bidi="hi-IN"/>
        </w:rPr>
        <w:t xml:space="preserve">El script se corre primero en pruebas y luego en producción, </w:t>
      </w:r>
      <w:r>
        <w:rPr>
          <w:b/>
          <w:lang w:val="es-EC" w:eastAsia="zh-CN" w:bidi="hi-IN"/>
        </w:rPr>
        <w:t>antes</w:t>
      </w:r>
      <w:r>
        <w:rPr>
          <w:lang w:val="es-EC" w:eastAsia="zh-CN" w:bidi="hi-IN"/>
        </w:rPr>
        <w:t xml:space="preserve"> del despliegue de la aplicación cuando la versión lo requiere.</w:t>
      </w:r>
    </w:p>
    <w:p>
      <w:pPr>
        <w:pStyle w:val="ListParagraph"/>
        <w:numPr>
          <w:ilvl w:val="0"/>
          <w:numId w:val="3"/>
        </w:numPr>
        <w:rPr/>
      </w:pPr>
      <w:r>
        <w:rPr>
          <w:lang w:val="es-EC" w:eastAsia="zh-CN" w:bidi="hi-IN"/>
        </w:rPr>
        <w:t xml:space="preserve">El archivo </w:t>
      </w:r>
      <w:r>
        <w:rPr>
          <w:rStyle w:val="CodeChar"/>
          <w:lang w:val="es-EC" w:eastAsia="zh-CN" w:bidi="hi-IN"/>
        </w:rPr>
        <w:t>SaaBE.war</w:t>
      </w:r>
      <w:r>
        <w:rPr>
          <w:lang w:val="es-EC" w:eastAsia="zh-CN" w:bidi="hi-IN"/>
        </w:rPr>
        <w:t xml:space="preserve"> y el frontend compilado se despliegan en WildFly por escritorio remoto: primero en pruebas y, validado, en producción.</w:t>
      </w:r>
    </w:p>
    <w:p>
      <w:pPr>
        <w:pStyle w:val="Heading2"/>
        <w:rPr>
          <w:lang w:val="es-EC" w:eastAsia="zh-CN" w:bidi="hi-IN"/>
        </w:rPr>
      </w:pPr>
      <w:r>
        <w:rPr>
          <w:lang w:val="es-EC" w:eastAsia="zh-CN" w:bidi="hi-IN"/>
        </w:rPr>
        <w:t>6. Arquitectura del sistema SAA</w:t>
      </w:r>
    </w:p>
    <w:p>
      <w:pPr>
        <w:pStyle w:val="Normal"/>
        <w:rPr/>
      </w:pPr>
      <w:r>
        <w:rPr>
          <w:lang w:val="es-EC" w:eastAsia="zh-CN" w:bidi="hi-IN"/>
        </w:rPr>
        <w:t xml:space="preserve">El SAA es una aplicación web de tres capas: un frontend Angular de una sola página, un backend Jakarta EE desplegado como un solo archivo </w:t>
      </w:r>
      <w:r>
        <w:rPr>
          <w:rStyle w:val="CodeChar"/>
          <w:lang w:val="es-EC" w:eastAsia="zh-CN" w:bidi="hi-IN"/>
        </w:rPr>
        <w:t>SaaBE.war</w:t>
      </w:r>
      <w:r>
        <w:rPr>
          <w:lang w:val="es-EC" w:eastAsia="zh-CN" w:bidi="hi-IN"/>
        </w:rPr>
        <w:t xml:space="preserve"> en WildFly, y una base Oracle organizada en esquemas por área. Todos los módulos comparten la base y el motor de transacciones, así que la contabilidad de cada operación se genera dentro de la misma transacción que la operación, sin interfaces ni cargas intermedias.</w:t>
      </w:r>
    </w:p>
    <w:p>
      <w:pPr>
        <w:pStyle w:val="Normal"/>
        <w:rPr>
          <w:lang w:val="es-EC" w:eastAsia="zh-CN" w:bidi="hi-IN"/>
        </w:rPr>
      </w:pPr>
      <w:r>
        <w:rPr>
          <w:lang w:val="es-EC" w:eastAsia="zh-CN" w:bidi="hi-IN"/>
        </w:rPr>
        <w:drawing>
          <wp:inline distT="0" distB="0" distL="0" distR="0">
            <wp:extent cx="5486400" cy="4474210"/>
            <wp:effectExtent l="0" t="0" r="0" b="0"/>
            <wp:docPr id="2" name="image2" descr="Arquitectura de componentes del SAA · capas e integrac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Arquitectura de componentes del SAA · capas e integraciones"/>
                    <pic:cNvPicPr>
                      <a:picLocks noChangeAspect="1" noChangeArrowheads="1"/>
                    </pic:cNvPicPr>
                  </pic:nvPicPr>
                  <pic:blipFill>
                    <a:blip r:embed="rId3"/>
                    <a:stretch>
                      <a:fillRect/>
                    </a:stretch>
                  </pic:blipFill>
                  <pic:spPr bwMode="auto">
                    <a:xfrm>
                      <a:off x="0" y="0"/>
                      <a:ext cx="5486400" cy="4474210"/>
                    </a:xfrm>
                    <a:prstGeom prst="rect">
                      <a:avLst/>
                    </a:prstGeom>
                    <a:noFill/>
                  </pic:spPr>
                </pic:pic>
              </a:graphicData>
            </a:graphic>
          </wp:inline>
        </w:drawing>
      </w:r>
    </w:p>
    <w:p>
      <w:pPr>
        <w:pStyle w:val="Normal"/>
        <w:rPr>
          <w:lang w:val="es-EC" w:eastAsia="zh-CN" w:bidi="hi-IN"/>
        </w:rPr>
      </w:pPr>
      <w:r>
        <w:rPr>
          <w:lang w:val="es-EC" w:eastAsia="zh-CN" w:bidi="hi-IN"/>
        </w:rPr>
        <w:t>Arquitectura de componentes del SAA · capas e integraciones</w:t>
      </w:r>
    </w:p>
    <w:p>
      <w:pPr>
        <w:pStyle w:val="Normal"/>
        <w:rPr/>
      </w:pPr>
      <w:r>
        <w:rPr>
          <w:lang w:val="es-EC" w:eastAsia="zh-CN" w:bidi="hi-IN"/>
        </w:rPr>
        <w:t xml:space="preserve">El navegador y la app entran por dos puertas distintas. </w:t>
      </w:r>
      <w:r>
        <w:rPr>
          <w:rStyle w:val="CodeChar"/>
          <w:lang w:val="es-EC" w:eastAsia="zh-CN" w:bidi="hi-IN"/>
        </w:rPr>
        <w:t>/rest</w:t>
      </w:r>
      <w:r>
        <w:rPr>
          <w:lang w:val="es-EC" w:eastAsia="zh-CN" w:bidi="hi-IN"/>
        </w:rPr>
        <w:t xml:space="preserve"> sirve a las pantallas de oficina. </w:t>
      </w:r>
      <w:r>
        <w:rPr>
          <w:rStyle w:val="CodeChar"/>
          <w:lang w:val="es-EC" w:eastAsia="zh-CN" w:bidi="hi-IN"/>
        </w:rPr>
        <w:t>/movil</w:t>
      </w:r>
      <w:r>
        <w:rPr>
          <w:lang w:val="es-EC" w:eastAsia="zh-CN" w:bidi="hi-IN"/>
        </w:rPr>
        <w:t xml:space="preserve"> es una lista cerrada de consultas de solo lectura para la app. Las dos llegan a la misma capa de servicios, donde están las reglas y la transacción.</w:t>
      </w:r>
    </w:p>
    <w:p>
      <w:pPr>
        <w:pStyle w:val="Heading3"/>
        <w:rPr>
          <w:lang w:val="es-EC" w:eastAsia="zh-CN" w:bidi="hi-IN"/>
        </w:rPr>
      </w:pPr>
      <w:r>
        <w:rPr>
          <w:lang w:val="es-EC" w:eastAsia="zh-CN" w:bidi="hi-IN"/>
        </w:rPr>
        <w:t>6.1. Plataforma y versiones</w:t>
      </w:r>
    </w:p>
    <w:tbl>
      <w:tblPr>
        <w:tblStyle w:val="TableGrid"/>
        <w:tblW w:w="9359" w:type="dxa"/>
        <w:jc w:val="left"/>
        <w:tblInd w:w="0" w:type="dxa"/>
        <w:tblLayout w:type="fixed"/>
        <w:tblCellMar>
          <w:top w:w="0" w:type="dxa"/>
          <w:left w:w="108" w:type="dxa"/>
          <w:bottom w:w="0" w:type="dxa"/>
          <w:right w:w="108" w:type="dxa"/>
        </w:tblCellMar>
        <w:tblLook w:val="0420" w:firstRow="1" w:noVBand="1" w:lastRow="0" w:firstColumn="0" w:lastColumn="0" w:noHBand="0"/>
      </w:tblPr>
      <w:tblGrid>
        <w:gridCol w:w="2807"/>
        <w:gridCol w:w="4685"/>
        <w:gridCol w:w="1867"/>
      </w:tblGrid>
      <w:tr>
        <w:trPr>
          <w:tblHeader w:val="true"/>
        </w:trPr>
        <w:tc>
          <w:tcPr>
            <w:tcW w:w="2807" w:type="dxa"/>
            <w:tcBorders/>
            <w:shd w:color="auto" w:fill="F2F2F2" w:val="clear"/>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Capa</w:t>
            </w:r>
          </w:p>
        </w:tc>
        <w:tc>
          <w:tcPr>
            <w:tcW w:w="4685" w:type="dxa"/>
            <w:tcBorders/>
            <w:shd w:color="auto" w:fill="F2F2F2" w:val="clear"/>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Tecnología</w:t>
            </w:r>
          </w:p>
        </w:tc>
        <w:tc>
          <w:tcPr>
            <w:tcW w:w="1867" w:type="dxa"/>
            <w:tcBorders/>
            <w:shd w:color="auto" w:fill="F2F2F2" w:val="clear"/>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Versión</w:t>
            </w:r>
          </w:p>
        </w:tc>
      </w:tr>
      <w:tr>
        <w:trPr/>
        <w:tc>
          <w:tcPr>
            <w:tcW w:w="2807"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Frontend</w:t>
            </w:r>
          </w:p>
        </w:tc>
        <w:tc>
          <w:tcPr>
            <w:tcW w:w="4685"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Angular + Angular Material, TypeScript, RxJS</w:t>
            </w:r>
          </w:p>
        </w:tc>
        <w:tc>
          <w:tcPr>
            <w:tcW w:w="1867"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20.3 / 20.2, 5.9, 7.8</w:t>
            </w:r>
          </w:p>
        </w:tc>
      </w:tr>
      <w:tr>
        <w:trPr/>
        <w:tc>
          <w:tcPr>
            <w:tcW w:w="2807"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API</w:t>
            </w:r>
          </w:p>
        </w:tc>
        <w:tc>
          <w:tcPr>
            <w:tcW w:w="4685"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Jakarta RESTful Web Services (RESTEasy), JSON con Jackson</w:t>
            </w:r>
          </w:p>
        </w:tc>
        <w:tc>
          <w:tcPr>
            <w:tcW w:w="1867"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Jakarta EE 10 · Jackson 2.18</w:t>
            </w:r>
          </w:p>
        </w:tc>
      </w:tr>
      <w:tr>
        <w:trPr/>
        <w:tc>
          <w:tcPr>
            <w:tcW w:w="2807"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Lógica de negocio</w:t>
            </w:r>
          </w:p>
        </w:tc>
        <w:tc>
          <w:tcPr>
            <w:tcW w:w="4685"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Enterprise Java Beans (sin estado y con estado), transacciones JTA</w:t>
            </w:r>
          </w:p>
        </w:tc>
        <w:tc>
          <w:tcPr>
            <w:tcW w:w="1867"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Jakarta EE 10 · Java 21</w:t>
            </w:r>
          </w:p>
        </w:tc>
      </w:tr>
      <w:tr>
        <w:trPr/>
        <w:tc>
          <w:tcPr>
            <w:tcW w:w="2807"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Persistencia</w:t>
            </w:r>
          </w:p>
        </w:tc>
        <w:tc>
          <w:tcPr>
            <w:tcW w:w="4685" w:type="dxa"/>
            <w:tcBorders/>
          </w:tcPr>
          <w:p>
            <w:pPr>
              <w:pStyle w:val="Normal"/>
              <w:widowControl/>
              <w:suppressAutoHyphens w:val="true"/>
              <w:spacing w:lineRule="auto" w:line="259" w:before="0" w:after="160"/>
              <w:jc w:val="left"/>
              <w:rPr>
                <w:sz w:val="22"/>
              </w:rPr>
            </w:pPr>
            <w:r>
              <w:rPr>
                <w:rFonts w:eastAsia="Calibri" w:cs="Calibri"/>
                <w:kern w:val="0"/>
                <w:sz w:val="22"/>
                <w:szCs w:val="22"/>
                <w:lang w:val="es-EC" w:eastAsia="zh-CN" w:bidi="hi-IN"/>
              </w:rPr>
              <w:t xml:space="preserve">JPA con Hibernate ORM, datasource JTA </w:t>
            </w:r>
            <w:r>
              <w:rPr>
                <w:rStyle w:val="CodeChar"/>
                <w:kern w:val="0"/>
                <w:szCs w:val="22"/>
                <w:lang w:val="es-EC" w:eastAsia="zh-CN" w:bidi="hi-IN"/>
              </w:rPr>
              <w:t>java:/jdbc/SaaDS</w:t>
            </w:r>
          </w:p>
        </w:tc>
        <w:tc>
          <w:tcPr>
            <w:tcW w:w="1867"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Hibernate 6.6 (provisto por WildFly)</w:t>
            </w:r>
          </w:p>
        </w:tc>
      </w:tr>
      <w:tr>
        <w:trPr/>
        <w:tc>
          <w:tcPr>
            <w:tcW w:w="2807"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Servidor de aplicaciones</w:t>
            </w:r>
          </w:p>
        </w:tc>
        <w:tc>
          <w:tcPr>
            <w:tcW w:w="4685"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WildFly</w:t>
            </w:r>
          </w:p>
        </w:tc>
        <w:tc>
          <w:tcPr>
            <w:tcW w:w="1867"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38</w:t>
            </w:r>
          </w:p>
        </w:tc>
      </w:tr>
      <w:tr>
        <w:trPr/>
        <w:tc>
          <w:tcPr>
            <w:tcW w:w="2807"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Base de datos</w:t>
            </w:r>
          </w:p>
        </w:tc>
        <w:tc>
          <w:tcPr>
            <w:tcW w:w="4685"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Oracle Database Free, juego de caracteres AL32UTF8</w:t>
            </w:r>
          </w:p>
        </w:tc>
        <w:tc>
          <w:tcPr>
            <w:tcW w:w="1867"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26ai (23.26)</w:t>
            </w:r>
          </w:p>
        </w:tc>
      </w:tr>
      <w:tr>
        <w:trPr/>
        <w:tc>
          <w:tcPr>
            <w:tcW w:w="2807"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Reportes</w:t>
            </w:r>
          </w:p>
        </w:tc>
        <w:tc>
          <w:tcPr>
            <w:tcW w:w="4685" w:type="dxa"/>
            <w:tcBorders/>
          </w:tcPr>
          <w:p>
            <w:pPr>
              <w:pStyle w:val="Normal"/>
              <w:widowControl/>
              <w:suppressAutoHyphens w:val="true"/>
              <w:spacing w:lineRule="auto" w:line="259" w:before="0" w:after="160"/>
              <w:jc w:val="left"/>
              <w:rPr>
                <w:sz w:val="22"/>
              </w:rPr>
            </w:pPr>
            <w:r>
              <w:rPr>
                <w:rFonts w:eastAsia="Calibri" w:cs="Calibri"/>
                <w:kern w:val="0"/>
                <w:sz w:val="22"/>
                <w:szCs w:val="22"/>
                <w:lang w:val="es-EC" w:eastAsia="zh-CN" w:bidi="hi-IN"/>
              </w:rPr>
              <w:t xml:space="preserve">JasperReports (plantillas precompiladas </w:t>
            </w:r>
            <w:r>
              <w:rPr>
                <w:rStyle w:val="CodeChar"/>
                <w:kern w:val="0"/>
                <w:szCs w:val="22"/>
                <w:lang w:val="es-EC" w:eastAsia="zh-CN" w:bidi="hi-IN"/>
              </w:rPr>
              <w:t>.jasper</w:t>
            </w:r>
            <w:r>
              <w:rPr>
                <w:rFonts w:eastAsia="Calibri" w:cs="Calibri"/>
                <w:kern w:val="0"/>
                <w:sz w:val="22"/>
                <w:szCs w:val="22"/>
                <w:lang w:val="es-EC" w:eastAsia="zh-CN" w:bidi="hi-IN"/>
              </w:rPr>
              <w:t>), OpenPDF, Apache POI para Excel</w:t>
            </w:r>
          </w:p>
        </w:tc>
        <w:tc>
          <w:tcPr>
            <w:tcW w:w="1867"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7.0.3 · POI 5.2.3</w:t>
            </w:r>
          </w:p>
        </w:tc>
      </w:tr>
      <w:tr>
        <w:trPr/>
        <w:tc>
          <w:tcPr>
            <w:tcW w:w="2807"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Firma electrónica</w:t>
            </w:r>
          </w:p>
        </w:tc>
        <w:tc>
          <w:tcPr>
            <w:tcW w:w="4685"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XAdES-BES con BouncyCastle y Apache Santuario</w:t>
            </w:r>
          </w:p>
        </w:tc>
        <w:tc>
          <w:tcPr>
            <w:tcW w:w="1867"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bcprov 1.78.1 · xmlsec 3.0.4</w:t>
            </w:r>
          </w:p>
        </w:tc>
      </w:tr>
      <w:tr>
        <w:trPr/>
        <w:tc>
          <w:tcPr>
            <w:tcW w:w="2807"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App móvil</w:t>
            </w:r>
          </w:p>
        </w:tc>
        <w:tc>
          <w:tcPr>
            <w:tcW w:w="4685" w:type="dxa"/>
            <w:tcBorders/>
          </w:tcPr>
          <w:p>
            <w:pPr>
              <w:pStyle w:val="Normal"/>
              <w:widowControl/>
              <w:suppressAutoHyphens w:val="true"/>
              <w:spacing w:lineRule="auto" w:line="259" w:before="0" w:after="160"/>
              <w:jc w:val="left"/>
              <w:rPr>
                <w:sz w:val="22"/>
              </w:rPr>
            </w:pPr>
            <w:r>
              <w:rPr>
                <w:rFonts w:eastAsia="Calibri" w:cs="Calibri"/>
                <w:kern w:val="0"/>
                <w:sz w:val="22"/>
                <w:szCs w:val="22"/>
                <w:lang w:val="es-EC" w:eastAsia="zh-CN" w:bidi="hi-IN"/>
              </w:rPr>
              <w:t xml:space="preserve">Flutter (Android e iOS) + capa de borde </w:t>
            </w:r>
            <w:r>
              <w:rPr>
                <w:rStyle w:val="CodeChar"/>
                <w:kern w:val="0"/>
                <w:szCs w:val="22"/>
                <w:lang w:val="es-EC" w:eastAsia="zh-CN" w:bidi="hi-IN"/>
              </w:rPr>
              <w:t>SaaMovilBE</w:t>
            </w:r>
            <w:r>
              <w:rPr>
                <w:rFonts w:eastAsia="Calibri" w:cs="Calibri"/>
                <w:kern w:val="0"/>
                <w:sz w:val="22"/>
                <w:szCs w:val="22"/>
                <w:lang w:val="es-EC" w:eastAsia="zh-CN" w:bidi="hi-IN"/>
              </w:rPr>
              <w:t xml:space="preserve"> (WAR Jakarta EE)</w:t>
            </w:r>
          </w:p>
        </w:tc>
        <w:tc>
          <w:tcPr>
            <w:tcW w:w="1867"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app 1.4.0</w:t>
            </w:r>
          </w:p>
        </w:tc>
      </w:tr>
    </w:tbl>
    <w:p>
      <w:pPr>
        <w:pStyle w:val="Heading3"/>
        <w:rPr>
          <w:lang w:val="es-EC" w:eastAsia="zh-CN" w:bidi="hi-IN"/>
        </w:rPr>
      </w:pPr>
      <w:r>
        <w:rPr>
          <w:lang w:val="es-EC" w:eastAsia="zh-CN" w:bidi="hi-IN"/>
        </w:rPr>
        <w:t>6.2. Capas del backend</w:t>
      </w:r>
    </w:p>
    <w:p>
      <w:pPr>
        <w:pStyle w:val="Normal"/>
        <w:rPr>
          <w:lang w:val="es-EC" w:eastAsia="zh-CN" w:bidi="hi-IN"/>
        </w:rPr>
      </w:pPr>
      <w:r>
        <w:rPr>
          <w:lang w:val="es-EC" w:eastAsia="zh-CN" w:bidi="hi-IN"/>
        </w:rPr>
        <w:t>Cada tabla se implementa con el mismo patrón de cinco piezas. Eso hace que las 427 tablas del sistema se lean, prueben y mantengan igual.</w:t>
      </w:r>
    </w:p>
    <w:tbl>
      <w:tblPr>
        <w:tblStyle w:val="TableGrid"/>
        <w:tblW w:w="9360" w:type="dxa"/>
        <w:jc w:val="left"/>
        <w:tblInd w:w="0" w:type="dxa"/>
        <w:tblLayout w:type="fixed"/>
        <w:tblCellMar>
          <w:top w:w="0" w:type="dxa"/>
          <w:left w:w="108" w:type="dxa"/>
          <w:bottom w:w="0" w:type="dxa"/>
          <w:right w:w="108" w:type="dxa"/>
        </w:tblCellMar>
        <w:tblLook w:val="0420" w:firstRow="1" w:noVBand="1" w:lastRow="0" w:firstColumn="0" w:lastColumn="0" w:noHBand="0"/>
      </w:tblPr>
      <w:tblGrid>
        <w:gridCol w:w="3035"/>
        <w:gridCol w:w="4734"/>
        <w:gridCol w:w="1591"/>
      </w:tblGrid>
      <w:tr>
        <w:trPr>
          <w:tblHeader w:val="true"/>
        </w:trPr>
        <w:tc>
          <w:tcPr>
            <w:tcW w:w="3035" w:type="dxa"/>
            <w:tcBorders/>
            <w:shd w:color="auto" w:fill="F2F2F2" w:val="clear"/>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Capa</w:t>
            </w:r>
          </w:p>
        </w:tc>
        <w:tc>
          <w:tcPr>
            <w:tcW w:w="4734" w:type="dxa"/>
            <w:tcBorders/>
            <w:shd w:color="auto" w:fill="F2F2F2" w:val="clear"/>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Qué hace</w:t>
            </w:r>
          </w:p>
        </w:tc>
        <w:tc>
          <w:tcPr>
            <w:tcW w:w="1591" w:type="dxa"/>
            <w:tcBorders/>
            <w:shd w:color="auto" w:fill="F2F2F2" w:val="clear"/>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Cantidad</w:t>
            </w:r>
          </w:p>
        </w:tc>
      </w:tr>
      <w:tr>
        <w:trPr/>
        <w:tc>
          <w:tcPr>
            <w:tcW w:w="3035" w:type="dxa"/>
            <w:tcBorders/>
          </w:tcPr>
          <w:p>
            <w:pPr>
              <w:pStyle w:val="Normal"/>
              <w:widowControl/>
              <w:suppressAutoHyphens w:val="true"/>
              <w:spacing w:lineRule="auto" w:line="259" w:before="0" w:after="160"/>
              <w:jc w:val="left"/>
              <w:rPr>
                <w:sz w:val="22"/>
              </w:rPr>
            </w:pPr>
            <w:r>
              <w:rPr>
                <w:rFonts w:eastAsia="Calibri" w:cs="Calibri"/>
                <w:kern w:val="0"/>
                <w:sz w:val="22"/>
                <w:szCs w:val="22"/>
                <w:lang w:val="es-EC" w:eastAsia="zh-CN" w:bidi="hi-IN"/>
              </w:rPr>
              <w:t>Entidad JPA (</w:t>
            </w:r>
            <w:r>
              <w:rPr>
                <w:rStyle w:val="CodeChar"/>
                <w:kern w:val="0"/>
                <w:szCs w:val="22"/>
                <w:lang w:val="es-EC" w:eastAsia="zh-CN" w:bidi="hi-IN"/>
              </w:rPr>
              <w:t>com.saa.model.{módulo}</w:t>
            </w:r>
            <w:r>
              <w:rPr>
                <w:rFonts w:eastAsia="Calibri" w:cs="Calibri"/>
                <w:kern w:val="0"/>
                <w:sz w:val="22"/>
                <w:szCs w:val="22"/>
                <w:lang w:val="es-EC" w:eastAsia="zh-CN" w:bidi="hi-IN"/>
              </w:rPr>
              <w:t>)</w:t>
            </w:r>
          </w:p>
        </w:tc>
        <w:tc>
          <w:tcPr>
            <w:tcW w:w="4734"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Mapea la tabla y sus relaciones</w:t>
            </w:r>
          </w:p>
        </w:tc>
        <w:tc>
          <w:tcPr>
            <w:tcW w:w="1591"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427</w:t>
            </w:r>
          </w:p>
        </w:tc>
      </w:tr>
      <w:tr>
        <w:trPr/>
        <w:tc>
          <w:tcPr>
            <w:tcW w:w="3035" w:type="dxa"/>
            <w:tcBorders/>
          </w:tcPr>
          <w:p>
            <w:pPr>
              <w:pStyle w:val="Normal"/>
              <w:widowControl/>
              <w:suppressAutoHyphens w:val="true"/>
              <w:spacing w:lineRule="auto" w:line="259" w:before="0" w:after="160"/>
              <w:jc w:val="left"/>
              <w:rPr>
                <w:sz w:val="22"/>
              </w:rPr>
            </w:pPr>
            <w:r>
              <w:rPr>
                <w:rFonts w:eastAsia="Calibri" w:cs="Calibri"/>
                <w:kern w:val="0"/>
                <w:sz w:val="22"/>
                <w:szCs w:val="22"/>
                <w:lang w:val="es-EC" w:eastAsia="zh-CN" w:bidi="hi-IN"/>
              </w:rPr>
              <w:t>DAO (</w:t>
            </w:r>
            <w:r>
              <w:rPr>
                <w:rStyle w:val="CodeChar"/>
                <w:kern w:val="0"/>
                <w:szCs w:val="22"/>
                <w:lang w:val="es-EC" w:eastAsia="zh-CN" w:bidi="hi-IN"/>
              </w:rPr>
              <w:t>ejb.{módulo}.dao</w:t>
            </w:r>
            <w:r>
              <w:rPr>
                <w:rFonts w:eastAsia="Calibri" w:cs="Calibri"/>
                <w:kern w:val="0"/>
                <w:sz w:val="22"/>
                <w:szCs w:val="22"/>
                <w:lang w:val="es-EC" w:eastAsia="zh-CN" w:bidi="hi-IN"/>
              </w:rPr>
              <w:t xml:space="preserve"> / </w:t>
            </w:r>
            <w:r>
              <w:rPr>
                <w:rStyle w:val="CodeChar"/>
                <w:kern w:val="0"/>
                <w:szCs w:val="22"/>
                <w:lang w:val="es-EC" w:eastAsia="zh-CN" w:bidi="hi-IN"/>
              </w:rPr>
              <w:t>daoImpl</w:t>
            </w:r>
            <w:r>
              <w:rPr>
                <w:rFonts w:eastAsia="Calibri" w:cs="Calibri"/>
                <w:kern w:val="0"/>
                <w:sz w:val="22"/>
                <w:szCs w:val="22"/>
                <w:lang w:val="es-EC" w:eastAsia="zh-CN" w:bidi="hi-IN"/>
              </w:rPr>
              <w:t>)</w:t>
            </w:r>
          </w:p>
        </w:tc>
        <w:tc>
          <w:tcPr>
            <w:tcW w:w="4734"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Consultas, sobre un DAO genérico común</w:t>
            </w:r>
          </w:p>
        </w:tc>
        <w:tc>
          <w:tcPr>
            <w:tcW w:w="1591"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427</w:t>
            </w:r>
          </w:p>
        </w:tc>
      </w:tr>
      <w:tr>
        <w:trPr/>
        <w:tc>
          <w:tcPr>
            <w:tcW w:w="3035" w:type="dxa"/>
            <w:tcBorders/>
          </w:tcPr>
          <w:p>
            <w:pPr>
              <w:pStyle w:val="Normal"/>
              <w:widowControl/>
              <w:suppressAutoHyphens w:val="true"/>
              <w:spacing w:lineRule="auto" w:line="259" w:before="0" w:after="160"/>
              <w:jc w:val="left"/>
              <w:rPr>
                <w:sz w:val="22"/>
              </w:rPr>
            </w:pPr>
            <w:r>
              <w:rPr>
                <w:rFonts w:eastAsia="Calibri" w:cs="Calibri"/>
                <w:kern w:val="0"/>
                <w:sz w:val="22"/>
                <w:szCs w:val="22"/>
                <w:lang w:val="es-EC" w:eastAsia="zh-CN" w:bidi="hi-IN"/>
              </w:rPr>
              <w:t>Servicio (</w:t>
            </w:r>
            <w:r>
              <w:rPr>
                <w:rStyle w:val="CodeChar"/>
                <w:kern w:val="0"/>
                <w:szCs w:val="22"/>
                <w:lang w:val="es-EC" w:eastAsia="zh-CN" w:bidi="hi-IN"/>
              </w:rPr>
              <w:t>ejb.{módulo}.service</w:t>
            </w:r>
            <w:r>
              <w:rPr>
                <w:rFonts w:eastAsia="Calibri" w:cs="Calibri"/>
                <w:kern w:val="0"/>
                <w:sz w:val="22"/>
                <w:szCs w:val="22"/>
                <w:lang w:val="es-EC" w:eastAsia="zh-CN" w:bidi="hi-IN"/>
              </w:rPr>
              <w:t xml:space="preserve"> / </w:t>
            </w:r>
            <w:r>
              <w:rPr>
                <w:rStyle w:val="CodeChar"/>
                <w:kern w:val="0"/>
                <w:szCs w:val="22"/>
                <w:lang w:val="es-EC" w:eastAsia="zh-CN" w:bidi="hi-IN"/>
              </w:rPr>
              <w:t>serviceImpl</w:t>
            </w:r>
            <w:r>
              <w:rPr>
                <w:rFonts w:eastAsia="Calibri" w:cs="Calibri"/>
                <w:kern w:val="0"/>
                <w:sz w:val="22"/>
                <w:szCs w:val="22"/>
                <w:lang w:val="es-EC" w:eastAsia="zh-CN" w:bidi="hi-IN"/>
              </w:rPr>
              <w:t>)</w:t>
            </w:r>
          </w:p>
        </w:tc>
        <w:tc>
          <w:tcPr>
            <w:tcW w:w="4734"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Reglas de negocio, validaciones y transacción; incluye los procesos (cargas, cierres, conciliaciones, corridas de pago)</w:t>
            </w:r>
          </w:p>
        </w:tc>
        <w:tc>
          <w:tcPr>
            <w:tcW w:w="1591"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472</w:t>
            </w:r>
          </w:p>
        </w:tc>
      </w:tr>
      <w:tr>
        <w:trPr/>
        <w:tc>
          <w:tcPr>
            <w:tcW w:w="3035" w:type="dxa"/>
            <w:tcBorders/>
          </w:tcPr>
          <w:p>
            <w:pPr>
              <w:pStyle w:val="Normal"/>
              <w:widowControl/>
              <w:suppressAutoHyphens w:val="true"/>
              <w:spacing w:lineRule="auto" w:line="259" w:before="0" w:after="160"/>
              <w:jc w:val="left"/>
              <w:rPr>
                <w:sz w:val="22"/>
              </w:rPr>
            </w:pPr>
            <w:r>
              <w:rPr>
                <w:rFonts w:eastAsia="Calibri" w:cs="Calibri"/>
                <w:kern w:val="0"/>
                <w:sz w:val="22"/>
                <w:szCs w:val="22"/>
                <w:lang w:val="es-EC" w:eastAsia="zh-CN" w:bidi="hi-IN"/>
              </w:rPr>
              <w:t>Recurso REST (</w:t>
            </w:r>
            <w:r>
              <w:rPr>
                <w:rStyle w:val="CodeChar"/>
                <w:kern w:val="0"/>
                <w:szCs w:val="22"/>
                <w:lang w:val="es-EC" w:eastAsia="zh-CN" w:bidi="hi-IN"/>
              </w:rPr>
              <w:t>ws.rest.{módulo}</w:t>
            </w:r>
            <w:r>
              <w:rPr>
                <w:rFonts w:eastAsia="Calibri" w:cs="Calibri"/>
                <w:kern w:val="0"/>
                <w:sz w:val="22"/>
                <w:szCs w:val="22"/>
                <w:lang w:val="es-EC" w:eastAsia="zh-CN" w:bidi="hi-IN"/>
              </w:rPr>
              <w:t>)</w:t>
            </w:r>
          </w:p>
        </w:tc>
        <w:tc>
          <w:tcPr>
            <w:tcW w:w="4734" w:type="dxa"/>
            <w:tcBorders/>
          </w:tcPr>
          <w:p>
            <w:pPr>
              <w:pStyle w:val="Normal"/>
              <w:widowControl/>
              <w:suppressAutoHyphens w:val="true"/>
              <w:spacing w:lineRule="auto" w:line="259" w:before="0" w:after="160"/>
              <w:jc w:val="left"/>
              <w:rPr>
                <w:sz w:val="22"/>
              </w:rPr>
            </w:pPr>
            <w:r>
              <w:rPr>
                <w:rFonts w:eastAsia="Calibri" w:cs="Calibri"/>
                <w:kern w:val="0"/>
                <w:sz w:val="22"/>
                <w:szCs w:val="22"/>
                <w:lang w:val="es-EC" w:eastAsia="zh-CN" w:bidi="hi-IN"/>
              </w:rPr>
              <w:t xml:space="preserve">Expone cada entidad y proceso por HTTP en </w:t>
            </w:r>
            <w:r>
              <w:rPr>
                <w:rStyle w:val="CodeChar"/>
                <w:kern w:val="0"/>
                <w:szCs w:val="22"/>
                <w:lang w:val="es-EC" w:eastAsia="zh-CN" w:bidi="hi-IN"/>
              </w:rPr>
              <w:t>/SaaBE/rest</w:t>
            </w:r>
          </w:p>
        </w:tc>
        <w:tc>
          <w:tcPr>
            <w:tcW w:w="1591"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401 recursos · 2.756 operaciones</w:t>
            </w:r>
          </w:p>
        </w:tc>
      </w:tr>
      <w:tr>
        <w:trPr/>
        <w:tc>
          <w:tcPr>
            <w:tcW w:w="3035" w:type="dxa"/>
            <w:tcBorders/>
          </w:tcPr>
          <w:p>
            <w:pPr>
              <w:pStyle w:val="Normal"/>
              <w:widowControl/>
              <w:suppressAutoHyphens w:val="true"/>
              <w:spacing w:lineRule="auto" w:line="259" w:before="0" w:after="160"/>
              <w:jc w:val="left"/>
              <w:rPr>
                <w:sz w:val="22"/>
              </w:rPr>
            </w:pPr>
            <w:r>
              <w:rPr>
                <w:rFonts w:eastAsia="Calibri" w:cs="Calibri"/>
                <w:kern w:val="0"/>
                <w:sz w:val="22"/>
                <w:szCs w:val="22"/>
                <w:lang w:val="es-EC" w:eastAsia="zh-CN" w:bidi="hi-IN"/>
              </w:rPr>
              <w:t>Recurso móvil (</w:t>
            </w:r>
            <w:r>
              <w:rPr>
                <w:rStyle w:val="CodeChar"/>
                <w:kern w:val="0"/>
                <w:szCs w:val="22"/>
                <w:lang w:val="es-EC" w:eastAsia="zh-CN" w:bidi="hi-IN"/>
              </w:rPr>
              <w:t>ws.movil</w:t>
            </w:r>
            <w:r>
              <w:rPr>
                <w:rFonts w:eastAsia="Calibri" w:cs="Calibri"/>
                <w:kern w:val="0"/>
                <w:sz w:val="22"/>
                <w:szCs w:val="22"/>
                <w:lang w:val="es-EC" w:eastAsia="zh-CN" w:bidi="hi-IN"/>
              </w:rPr>
              <w:t>)</w:t>
            </w:r>
          </w:p>
        </w:tc>
        <w:tc>
          <w:tcPr>
            <w:tcW w:w="4734" w:type="dxa"/>
            <w:tcBorders/>
          </w:tcPr>
          <w:p>
            <w:pPr>
              <w:pStyle w:val="Normal"/>
              <w:widowControl/>
              <w:suppressAutoHyphens w:val="true"/>
              <w:spacing w:lineRule="auto" w:line="259" w:before="0" w:after="160"/>
              <w:jc w:val="left"/>
              <w:rPr>
                <w:sz w:val="22"/>
              </w:rPr>
            </w:pPr>
            <w:r>
              <w:rPr>
                <w:rFonts w:eastAsia="Calibri" w:cs="Calibri"/>
                <w:kern w:val="0"/>
                <w:sz w:val="22"/>
                <w:szCs w:val="22"/>
                <w:lang w:val="es-EC" w:eastAsia="zh-CN" w:bidi="hi-IN"/>
              </w:rPr>
              <w:t xml:space="preserve">Lista cerrada de 7 recursos de solo consulta para la app, en </w:t>
            </w:r>
            <w:r>
              <w:rPr>
                <w:rStyle w:val="CodeChar"/>
                <w:kern w:val="0"/>
                <w:szCs w:val="22"/>
                <w:lang w:val="es-EC" w:eastAsia="zh-CN" w:bidi="hi-IN"/>
              </w:rPr>
              <w:t>/SaaBE/movil</w:t>
            </w:r>
          </w:p>
        </w:tc>
        <w:tc>
          <w:tcPr>
            <w:tcW w:w="1591"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7 recursos · 15 operaciones</w:t>
            </w:r>
          </w:p>
        </w:tc>
      </w:tr>
      <w:tr>
        <w:trPr/>
        <w:tc>
          <w:tcPr>
            <w:tcW w:w="3035"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Proceso automático</w:t>
            </w:r>
          </w:p>
        </w:tc>
        <w:tc>
          <w:tcPr>
            <w:tcW w:w="4734"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Cálculo diario de interés de mora, todos los días a las 02:00</w:t>
            </w:r>
          </w:p>
        </w:tc>
        <w:tc>
          <w:tcPr>
            <w:tcW w:w="1591"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1 temporizador</w:t>
            </w:r>
          </w:p>
        </w:tc>
      </w:tr>
      <w:tr>
        <w:trPr/>
        <w:tc>
          <w:tcPr>
            <w:tcW w:w="3035"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Reportes</w:t>
            </w:r>
          </w:p>
        </w:tc>
        <w:tc>
          <w:tcPr>
            <w:tcW w:w="4734"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Servicio único que resuelve la plantilla por módulo y la llena por JDBC</w:t>
            </w:r>
          </w:p>
        </w:tc>
        <w:tc>
          <w:tcPr>
            <w:tcW w:w="1591"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61 reportes en producción</w:t>
            </w:r>
          </w:p>
        </w:tc>
      </w:tr>
    </w:tbl>
    <w:p>
      <w:pPr>
        <w:pStyle w:val="Heading3"/>
        <w:rPr>
          <w:lang w:val="es-EC" w:eastAsia="zh-CN" w:bidi="hi-IN"/>
        </w:rPr>
      </w:pPr>
      <w:r>
        <w:rPr>
          <w:lang w:val="es-EC" w:eastAsia="zh-CN" w:bidi="hi-IN"/>
        </w:rPr>
        <w:t>6.3. Integraciones externas</w:t>
      </w:r>
    </w:p>
    <w:tbl>
      <w:tblPr>
        <w:tblStyle w:val="TableGrid"/>
        <w:tblW w:w="9360" w:type="dxa"/>
        <w:jc w:val="left"/>
        <w:tblInd w:w="0" w:type="dxa"/>
        <w:tblLayout w:type="fixed"/>
        <w:tblCellMar>
          <w:top w:w="0" w:type="dxa"/>
          <w:left w:w="108" w:type="dxa"/>
          <w:bottom w:w="0" w:type="dxa"/>
          <w:right w:w="108" w:type="dxa"/>
        </w:tblCellMar>
        <w:tblLook w:val="0420" w:firstRow="1" w:noVBand="1" w:lastRow="0" w:firstColumn="0" w:lastColumn="0" w:noHBand="0"/>
      </w:tblPr>
      <w:tblGrid>
        <w:gridCol w:w="2017"/>
        <w:gridCol w:w="4652"/>
        <w:gridCol w:w="1227"/>
        <w:gridCol w:w="1464"/>
      </w:tblGrid>
      <w:tr>
        <w:trPr>
          <w:tblHeader w:val="true"/>
        </w:trPr>
        <w:tc>
          <w:tcPr>
            <w:tcW w:w="2017" w:type="dxa"/>
            <w:tcBorders/>
            <w:shd w:color="auto" w:fill="F2F2F2" w:val="clear"/>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Con quién</w:t>
            </w:r>
          </w:p>
        </w:tc>
        <w:tc>
          <w:tcPr>
            <w:tcW w:w="4652" w:type="dxa"/>
            <w:tcBorders/>
            <w:shd w:color="auto" w:fill="F2F2F2" w:val="clear"/>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Cómo</w:t>
            </w:r>
          </w:p>
        </w:tc>
        <w:tc>
          <w:tcPr>
            <w:tcW w:w="1227" w:type="dxa"/>
            <w:tcBorders/>
            <w:shd w:color="auto" w:fill="F2F2F2" w:val="clear"/>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Sentido</w:t>
            </w:r>
          </w:p>
        </w:tc>
        <w:tc>
          <w:tcPr>
            <w:tcW w:w="1464" w:type="dxa"/>
            <w:tcBorders/>
            <w:shd w:color="auto" w:fill="F2F2F2" w:val="clear"/>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Módulo</w:t>
            </w:r>
          </w:p>
        </w:tc>
      </w:tr>
      <w:tr>
        <w:trPr/>
        <w:tc>
          <w:tcPr>
            <w:tcW w:w="2017"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SRI — comprobantes electrónicos</w:t>
            </w:r>
          </w:p>
        </w:tc>
        <w:tc>
          <w:tcPr>
            <w:tcW w:w="4652" w:type="dxa"/>
            <w:tcBorders/>
          </w:tcPr>
          <w:p>
            <w:pPr>
              <w:pStyle w:val="Normal"/>
              <w:widowControl/>
              <w:suppressAutoHyphens w:val="true"/>
              <w:spacing w:lineRule="auto" w:line="259" w:before="0" w:after="160"/>
              <w:jc w:val="left"/>
              <w:rPr>
                <w:sz w:val="22"/>
              </w:rPr>
            </w:pPr>
            <w:r>
              <w:rPr>
                <w:rFonts w:eastAsia="Calibri" w:cs="Calibri"/>
                <w:kern w:val="0"/>
                <w:sz w:val="22"/>
                <w:szCs w:val="22"/>
                <w:lang w:val="es-EC" w:eastAsia="zh-CN" w:bidi="hi-IN"/>
              </w:rPr>
              <w:t>Servicios web de recepción y autorización (</w:t>
            </w:r>
            <w:r>
              <w:rPr>
                <w:rStyle w:val="CodeChar"/>
                <w:kern w:val="0"/>
                <w:szCs w:val="22"/>
                <w:lang w:val="es-EC" w:eastAsia="zh-CN" w:bidi="hi-IN"/>
              </w:rPr>
              <w:t>cel.sri.gob.ec</w:t>
            </w:r>
            <w:r>
              <w:rPr>
                <w:rFonts w:eastAsia="Calibri" w:cs="Calibri"/>
                <w:kern w:val="0"/>
                <w:sz w:val="22"/>
                <w:szCs w:val="22"/>
                <w:lang w:val="es-EC" w:eastAsia="zh-CN" w:bidi="hi-IN"/>
              </w:rPr>
              <w:t xml:space="preserve">; </w:t>
            </w:r>
            <w:r>
              <w:rPr>
                <w:rStyle w:val="CodeChar"/>
                <w:kern w:val="0"/>
                <w:szCs w:val="22"/>
                <w:lang w:val="es-EC" w:eastAsia="zh-CN" w:bidi="hi-IN"/>
              </w:rPr>
              <w:t>celcer</w:t>
            </w:r>
            <w:r>
              <w:rPr>
                <w:rFonts w:eastAsia="Calibri" w:cs="Calibri"/>
                <w:kern w:val="0"/>
                <w:sz w:val="22"/>
                <w:szCs w:val="22"/>
                <w:lang w:val="es-EC" w:eastAsia="zh-CN" w:bidi="hi-IN"/>
              </w:rPr>
              <w:t xml:space="preserve"> en pruebas), XML firmado XAdES</w:t>
            </w:r>
          </w:p>
        </w:tc>
        <w:tc>
          <w:tcPr>
            <w:tcW w:w="1227"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Salida y respuesta</w:t>
            </w:r>
          </w:p>
        </w:tc>
        <w:tc>
          <w:tcPr>
            <w:tcW w:w="1464"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Cuentas por Cobrar</w:t>
            </w:r>
          </w:p>
        </w:tc>
      </w:tr>
      <w:tr>
        <w:trPr/>
        <w:tc>
          <w:tcPr>
            <w:tcW w:w="2017"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SRI — comprobantes recibidos</w:t>
            </w:r>
          </w:p>
        </w:tc>
        <w:tc>
          <w:tcPr>
            <w:tcW w:w="4652"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Consulta de autorización y carga de TXT/XML descargados del portal</w:t>
            </w:r>
          </w:p>
        </w:tc>
        <w:tc>
          <w:tcPr>
            <w:tcW w:w="1227"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Entrada</w:t>
            </w:r>
          </w:p>
        </w:tc>
        <w:tc>
          <w:tcPr>
            <w:tcW w:w="1464"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Cuentas por Pagar</w:t>
            </w:r>
          </w:p>
        </w:tc>
      </w:tr>
      <w:tr>
        <w:trPr/>
        <w:tc>
          <w:tcPr>
            <w:tcW w:w="2017"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SRI — Anexo Transaccional Simplificado</w:t>
            </w:r>
          </w:p>
        </w:tc>
        <w:tc>
          <w:tcPr>
            <w:tcW w:w="4652"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Archivo XML generado por el sistema</w:t>
            </w:r>
          </w:p>
        </w:tc>
        <w:tc>
          <w:tcPr>
            <w:tcW w:w="1227"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Salida (archivo)</w:t>
            </w:r>
          </w:p>
        </w:tc>
        <w:tc>
          <w:tcPr>
            <w:tcW w:w="1464"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CxC / CxP</w:t>
            </w:r>
          </w:p>
        </w:tc>
      </w:tr>
      <w:tr>
        <w:trPr/>
        <w:tc>
          <w:tcPr>
            <w:tcW w:w="2017"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Clientes</w:t>
            </w:r>
          </w:p>
        </w:tc>
        <w:tc>
          <w:tcPr>
            <w:tcW w:w="4652"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Correo con el comprobante (Microsoft 365)</w:t>
            </w:r>
          </w:p>
        </w:tc>
        <w:tc>
          <w:tcPr>
            <w:tcW w:w="1227"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Salida</w:t>
            </w:r>
          </w:p>
        </w:tc>
        <w:tc>
          <w:tcPr>
            <w:tcW w:w="1464"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Cuentas por Cobrar</w:t>
            </w:r>
          </w:p>
        </w:tc>
      </w:tr>
      <w:tr>
        <w:trPr/>
        <w:tc>
          <w:tcPr>
            <w:tcW w:w="2017"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Petrocomercial</w:t>
            </w:r>
          </w:p>
        </w:tc>
        <w:tc>
          <w:tcPr>
            <w:tcW w:w="4652" w:type="dxa"/>
            <w:tcBorders/>
          </w:tcPr>
          <w:p>
            <w:pPr>
              <w:pStyle w:val="Normal"/>
              <w:widowControl/>
              <w:suppressAutoHyphens w:val="true"/>
              <w:spacing w:lineRule="auto" w:line="259" w:before="0" w:after="160"/>
              <w:jc w:val="left"/>
              <w:rPr>
                <w:sz w:val="22"/>
              </w:rPr>
            </w:pPr>
            <w:r>
              <w:rPr>
                <w:rFonts w:eastAsia="Calibri" w:cs="Calibri"/>
                <w:kern w:val="0"/>
                <w:sz w:val="22"/>
                <w:szCs w:val="22"/>
                <w:lang w:val="es-EC" w:eastAsia="zh-CN" w:bidi="hi-IN"/>
              </w:rPr>
              <w:t>Archivo de descuentos por filial (</w:t>
            </w:r>
            <w:r>
              <w:rPr>
                <w:rStyle w:val="CodeChar"/>
                <w:kern w:val="0"/>
                <w:szCs w:val="22"/>
                <w:lang w:val="es-EC" w:eastAsia="zh-CN" w:bidi="hi-IN"/>
              </w:rPr>
              <w:t>.txt</w:t>
            </w:r>
            <w:r>
              <w:rPr>
                <w:rFonts w:eastAsia="Calibri" w:cs="Calibri"/>
                <w:kern w:val="0"/>
                <w:sz w:val="22"/>
                <w:szCs w:val="22"/>
                <w:lang w:val="es-EC" w:eastAsia="zh-CN" w:bidi="hi-IN"/>
              </w:rPr>
              <w:t>) y archivo de respuesta</w:t>
            </w:r>
          </w:p>
        </w:tc>
        <w:tc>
          <w:tcPr>
            <w:tcW w:w="1227"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Salida y entrada (archivo)</w:t>
            </w:r>
          </w:p>
        </w:tc>
        <w:tc>
          <w:tcPr>
            <w:tcW w:w="1464"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Créditos</w:t>
            </w:r>
          </w:p>
        </w:tc>
      </w:tr>
      <w:tr>
        <w:trPr/>
        <w:tc>
          <w:tcPr>
            <w:tcW w:w="2017"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Bancos — pagos</w:t>
            </w:r>
          </w:p>
        </w:tc>
        <w:tc>
          <w:tcPr>
            <w:tcW w:w="4652"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Archivo de pagos de Banco Internacional y Banco del Pacífico; formato de nómina parametrizable</w:t>
            </w:r>
          </w:p>
        </w:tc>
        <w:tc>
          <w:tcPr>
            <w:tcW w:w="1227"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Salida (archivo)</w:t>
            </w:r>
          </w:p>
        </w:tc>
        <w:tc>
          <w:tcPr>
            <w:tcW w:w="1464"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Tesorería, RRHH</w:t>
            </w:r>
          </w:p>
        </w:tc>
      </w:tr>
      <w:tr>
        <w:trPr/>
        <w:tc>
          <w:tcPr>
            <w:tcW w:w="2017"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Bancos — extractos</w:t>
            </w:r>
          </w:p>
        </w:tc>
        <w:tc>
          <w:tcPr>
            <w:tcW w:w="4652"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Lectura de extractos en Excel de 11 entidades (Internacional, Pacífico, Atlántida, Austro, Guayaquil, Manabí, Policía Nacional, Alianza, JEP, Pichincha, Amazonas)</w:t>
            </w:r>
          </w:p>
        </w:tc>
        <w:tc>
          <w:tcPr>
            <w:tcW w:w="1227"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Entrada (archivo)</w:t>
            </w:r>
          </w:p>
        </w:tc>
        <w:tc>
          <w:tcPr>
            <w:tcW w:w="1464"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Tesorería</w:t>
            </w:r>
          </w:p>
        </w:tc>
      </w:tr>
      <w:tr>
        <w:trPr/>
        <w:tc>
          <w:tcPr>
            <w:tcW w:w="2017"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IESS</w:t>
            </w:r>
          </w:p>
        </w:tc>
        <w:tc>
          <w:tcPr>
            <w:tcW w:w="4652"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Archivos de planillas y novedades</w:t>
            </w:r>
          </w:p>
        </w:tc>
        <w:tc>
          <w:tcPr>
            <w:tcW w:w="1227"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Salida (archivo)</w:t>
            </w:r>
          </w:p>
        </w:tc>
        <w:tc>
          <w:tcPr>
            <w:tcW w:w="1464"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RRHH</w:t>
            </w:r>
          </w:p>
        </w:tc>
      </w:tr>
      <w:tr>
        <w:trPr/>
        <w:tc>
          <w:tcPr>
            <w:tcW w:w="2017"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Superintendencia de Bancos</w:t>
            </w:r>
          </w:p>
        </w:tc>
        <w:tc>
          <w:tcPr>
            <w:tcW w:w="4652"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Estructuras G40 a G51</w:t>
            </w:r>
          </w:p>
        </w:tc>
        <w:tc>
          <w:tcPr>
            <w:tcW w:w="1227"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Salida (archivo)</w:t>
            </w:r>
          </w:p>
        </w:tc>
        <w:tc>
          <w:tcPr>
            <w:tcW w:w="1464"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Reportes regulatorios</w:t>
            </w:r>
          </w:p>
        </w:tc>
      </w:tr>
      <w:tr>
        <w:trPr/>
        <w:tc>
          <w:tcPr>
            <w:tcW w:w="2017"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App móvil</w:t>
            </w:r>
          </w:p>
        </w:tc>
        <w:tc>
          <w:tcPr>
            <w:tcW w:w="4652" w:type="dxa"/>
            <w:tcBorders/>
          </w:tcPr>
          <w:p>
            <w:pPr>
              <w:pStyle w:val="Normal"/>
              <w:widowControl/>
              <w:suppressAutoHyphens w:val="true"/>
              <w:spacing w:lineRule="auto" w:line="259" w:before="0" w:after="160"/>
              <w:jc w:val="left"/>
              <w:rPr>
                <w:sz w:val="22"/>
              </w:rPr>
            </w:pPr>
            <w:r>
              <w:rPr>
                <w:rFonts w:eastAsia="Calibri" w:cs="Calibri"/>
                <w:kern w:val="0"/>
                <w:sz w:val="22"/>
                <w:szCs w:val="22"/>
                <w:lang w:val="es-EC" w:eastAsia="zh-CN" w:bidi="hi-IN"/>
              </w:rPr>
              <w:t xml:space="preserve">HTTPS hacia </w:t>
            </w:r>
            <w:r>
              <w:rPr>
                <w:rStyle w:val="CodeChar"/>
                <w:kern w:val="0"/>
                <w:szCs w:val="22"/>
                <w:lang w:val="es-EC" w:eastAsia="zh-CN" w:bidi="hi-IN"/>
              </w:rPr>
              <w:t>SaaMovilBE</w:t>
            </w:r>
            <w:r>
              <w:rPr>
                <w:rFonts w:eastAsia="Calibri" w:cs="Calibri"/>
                <w:kern w:val="0"/>
                <w:sz w:val="22"/>
                <w:szCs w:val="22"/>
                <w:lang w:val="es-EC" w:eastAsia="zh-CN" w:bidi="hi-IN"/>
              </w:rPr>
              <w:t xml:space="preserve">, que reenvía a </w:t>
            </w:r>
            <w:r>
              <w:rPr>
                <w:rStyle w:val="CodeChar"/>
                <w:kern w:val="0"/>
                <w:szCs w:val="22"/>
                <w:lang w:val="es-EC" w:eastAsia="zh-CN" w:bidi="hi-IN"/>
              </w:rPr>
              <w:t>/SaaBE/movil</w:t>
            </w:r>
            <w:r>
              <w:rPr>
                <w:rFonts w:eastAsia="Calibri" w:cs="Calibri"/>
                <w:kern w:val="0"/>
                <w:sz w:val="22"/>
                <w:szCs w:val="22"/>
                <w:lang w:val="es-EC" w:eastAsia="zh-CN" w:bidi="hi-IN"/>
              </w:rPr>
              <w:t xml:space="preserve"> con secreto compartido</w:t>
            </w:r>
          </w:p>
        </w:tc>
        <w:tc>
          <w:tcPr>
            <w:tcW w:w="1227"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Consulta</w:t>
            </w:r>
          </w:p>
        </w:tc>
        <w:tc>
          <w:tcPr>
            <w:tcW w:w="1464"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Créditos</w:t>
            </w:r>
          </w:p>
        </w:tc>
      </w:tr>
    </w:tbl>
    <w:p>
      <w:pPr>
        <w:pStyle w:val="Heading3"/>
        <w:rPr>
          <w:lang w:val="es-EC" w:eastAsia="zh-CN" w:bidi="hi-IN"/>
        </w:rPr>
      </w:pPr>
      <w:r>
        <w:rPr>
          <w:lang w:val="es-EC" w:eastAsia="zh-CN" w:bidi="hi-IN"/>
        </w:rPr>
        <w:t>6.4. Integración entre módulos</w:t>
      </w:r>
    </w:p>
    <w:p>
      <w:pPr>
        <w:pStyle w:val="Normal"/>
        <w:rPr>
          <w:lang w:val="es-EC" w:eastAsia="zh-CN" w:bidi="hi-IN"/>
        </w:rPr>
      </w:pPr>
      <w:r>
        <w:rPr>
          <w:lang w:val="es-EC" w:eastAsia="zh-CN" w:bidi="hi-IN"/>
        </w:rPr>
        <w:drawing>
          <wp:inline distT="0" distB="0" distL="0" distR="0">
            <wp:extent cx="5486400" cy="3314700"/>
            <wp:effectExtent l="0" t="0" r="0" b="0"/>
            <wp:docPr id="3" name="image3" descr="Integración entre módulos · contabilización por plantill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Integración entre módulos · contabilización por plantillas"/>
                    <pic:cNvPicPr>
                      <a:picLocks noChangeAspect="1" noChangeArrowheads="1"/>
                    </pic:cNvPicPr>
                  </pic:nvPicPr>
                  <pic:blipFill>
                    <a:blip r:embed="rId4"/>
                    <a:stretch>
                      <a:fillRect/>
                    </a:stretch>
                  </pic:blipFill>
                  <pic:spPr bwMode="auto">
                    <a:xfrm>
                      <a:off x="0" y="0"/>
                      <a:ext cx="5486400" cy="3314700"/>
                    </a:xfrm>
                    <a:prstGeom prst="rect">
                      <a:avLst/>
                    </a:prstGeom>
                    <a:noFill/>
                  </pic:spPr>
                </pic:pic>
              </a:graphicData>
            </a:graphic>
          </wp:inline>
        </w:drawing>
      </w:r>
    </w:p>
    <w:p>
      <w:pPr>
        <w:pStyle w:val="Normal"/>
        <w:rPr>
          <w:lang w:val="es-EC" w:eastAsia="zh-CN" w:bidi="hi-IN"/>
        </w:rPr>
      </w:pPr>
      <w:r>
        <w:rPr>
          <w:lang w:val="es-EC" w:eastAsia="zh-CN" w:bidi="hi-IN"/>
        </w:rPr>
        <w:t>Integración entre módulos · contabilización por plantillas</w:t>
      </w:r>
    </w:p>
    <w:p>
      <w:pPr>
        <w:pStyle w:val="Normal"/>
        <w:rPr>
          <w:lang w:val="es-EC" w:eastAsia="zh-CN" w:bidi="hi-IN"/>
        </w:rPr>
      </w:pPr>
      <w:r>
        <w:rPr>
          <w:lang w:val="es-EC" w:eastAsia="zh-CN" w:bidi="hi-IN"/>
        </w:rPr>
        <w:t>Cada evento con efecto contable (desembolso, cobro, factura, pago, rol de pagos) genera su asiento con la plantilla de su tipo y producto. Tesorería ejecuta los pagos que originan Cuentas por Pagar, RRHH y Créditos, y registra los cobros que aplican a Cuentas por Cobrar.</w:t>
      </w:r>
    </w:p>
    <w:p>
      <w:pPr>
        <w:pStyle w:val="Heading2"/>
        <w:rPr>
          <w:lang w:val="es-EC" w:eastAsia="zh-CN" w:bidi="hi-IN"/>
        </w:rPr>
      </w:pPr>
      <w:r>
        <w:rPr>
          <w:lang w:val="es-EC" w:eastAsia="zh-CN" w:bidi="hi-IN"/>
        </w:rPr>
        <w:t>7. Inventario de módulos implementados en el sistema SAA</w:t>
      </w:r>
    </w:p>
    <w:p>
      <w:pPr>
        <w:pStyle w:val="Normal"/>
        <w:rPr>
          <w:lang w:val="es-EC" w:eastAsia="zh-CN" w:bidi="hi-IN"/>
        </w:rPr>
      </w:pPr>
      <w:r>
        <w:rPr>
          <w:lang w:val="es-EC" w:eastAsia="zh-CN" w:bidi="hi-IN"/>
        </w:rPr>
        <w:t xml:space="preserve">El SAA tiene </w:t>
      </w:r>
      <w:r>
        <w:rPr>
          <w:b/>
          <w:lang w:val="es-EC" w:eastAsia="zh-CN" w:bidi="hi-IN"/>
        </w:rPr>
        <w:t>ocho módulos en producción desde agosto de 2026</w:t>
      </w:r>
      <w:r>
        <w:rPr>
          <w:lang w:val="es-EC" w:eastAsia="zh-CN" w:bidi="hi-IN"/>
        </w:rPr>
        <w:t>, más la aplicación móvil, que está desarrollada y pendiente de publicación. Las cifras se midieron en el código fuente al 24 de octubre de 2026: tablas son entidades mapeadas, operaciones son los servicios REST expuestos, pantallas son componentes del frontend, opciones son las entradas del menú y reportes son las plantillas JasperReports.</w:t>
      </w:r>
    </w:p>
    <w:p>
      <w:pPr>
        <w:pStyle w:val="Heading3"/>
        <w:rPr>
          <w:lang w:val="es-EC" w:eastAsia="zh-CN" w:bidi="hi-IN"/>
        </w:rPr>
      </w:pPr>
      <w:r>
        <w:rPr>
          <w:lang w:val="es-EC" w:eastAsia="zh-CN" w:bidi="hi-IN"/>
        </w:rPr>
        <w:t>7.1. Resumen por módulo</w:t>
      </w:r>
    </w:p>
    <w:tbl>
      <w:tblPr>
        <w:tblStyle w:val="TableGrid"/>
        <w:tblW w:w="9357" w:type="dxa"/>
        <w:jc w:val="left"/>
        <w:tblInd w:w="0" w:type="dxa"/>
        <w:tblLayout w:type="fixed"/>
        <w:tblCellMar>
          <w:top w:w="0" w:type="dxa"/>
          <w:left w:w="108" w:type="dxa"/>
          <w:bottom w:w="0" w:type="dxa"/>
          <w:right w:w="108" w:type="dxa"/>
        </w:tblCellMar>
        <w:tblLook w:val="0420" w:firstRow="1" w:noVBand="1" w:lastRow="0" w:firstColumn="0" w:lastColumn="0" w:noHBand="0"/>
      </w:tblPr>
      <w:tblGrid>
        <w:gridCol w:w="2711"/>
        <w:gridCol w:w="1048"/>
        <w:gridCol w:w="1664"/>
        <w:gridCol w:w="1355"/>
        <w:gridCol w:w="1312"/>
        <w:gridCol w:w="1267"/>
      </w:tblGrid>
      <w:tr>
        <w:trPr>
          <w:tblHeader w:val="true"/>
        </w:trPr>
        <w:tc>
          <w:tcPr>
            <w:tcW w:w="2711" w:type="dxa"/>
            <w:tcBorders/>
            <w:shd w:color="auto" w:fill="F2F2F2" w:val="clear"/>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Módulo</w:t>
            </w:r>
          </w:p>
        </w:tc>
        <w:tc>
          <w:tcPr>
            <w:tcW w:w="1048" w:type="dxa"/>
            <w:tcBorders/>
            <w:shd w:color="auto" w:fill="F2F2F2" w:val="clear"/>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Tablas</w:t>
            </w:r>
          </w:p>
        </w:tc>
        <w:tc>
          <w:tcPr>
            <w:tcW w:w="1664" w:type="dxa"/>
            <w:tcBorders/>
            <w:shd w:color="auto" w:fill="F2F2F2" w:val="clear"/>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Operaciones</w:t>
            </w:r>
          </w:p>
        </w:tc>
        <w:tc>
          <w:tcPr>
            <w:tcW w:w="1355" w:type="dxa"/>
            <w:tcBorders/>
            <w:shd w:color="auto" w:fill="F2F2F2" w:val="clear"/>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Pantallas</w:t>
            </w:r>
          </w:p>
        </w:tc>
        <w:tc>
          <w:tcPr>
            <w:tcW w:w="1312" w:type="dxa"/>
            <w:tcBorders/>
            <w:shd w:color="auto" w:fill="F2F2F2" w:val="clear"/>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Opciones</w:t>
            </w:r>
          </w:p>
        </w:tc>
        <w:tc>
          <w:tcPr>
            <w:tcW w:w="1267" w:type="dxa"/>
            <w:tcBorders/>
            <w:shd w:color="auto" w:fill="F2F2F2" w:val="clear"/>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Reportes</w:t>
            </w:r>
          </w:p>
        </w:tc>
      </w:tr>
      <w:tr>
        <w:trPr/>
        <w:tc>
          <w:tcPr>
            <w:tcW w:w="2711"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Créditos</w:t>
            </w:r>
          </w:p>
        </w:tc>
        <w:tc>
          <w:tcPr>
            <w:tcW w:w="1048"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115</w:t>
            </w:r>
          </w:p>
        </w:tc>
        <w:tc>
          <w:tcPr>
            <w:tcW w:w="1664"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738</w:t>
            </w:r>
          </w:p>
        </w:tc>
        <w:tc>
          <w:tcPr>
            <w:tcW w:w="1355"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98</w:t>
            </w:r>
          </w:p>
        </w:tc>
        <w:tc>
          <w:tcPr>
            <w:tcW w:w="1312"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63</w:t>
            </w:r>
          </w:p>
        </w:tc>
        <w:tc>
          <w:tcPr>
            <w:tcW w:w="1267"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30</w:t>
            </w:r>
          </w:p>
        </w:tc>
      </w:tr>
      <w:tr>
        <w:trPr/>
        <w:tc>
          <w:tcPr>
            <w:tcW w:w="2711"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Recursos Humanos</w:t>
            </w:r>
          </w:p>
        </w:tc>
        <w:tc>
          <w:tcPr>
            <w:tcW w:w="1048"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63</w:t>
            </w:r>
          </w:p>
        </w:tc>
        <w:tc>
          <w:tcPr>
            <w:tcW w:w="1664"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434</w:t>
            </w:r>
          </w:p>
        </w:tc>
        <w:tc>
          <w:tcPr>
            <w:tcW w:w="1355"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68</w:t>
            </w:r>
          </w:p>
        </w:tc>
        <w:tc>
          <w:tcPr>
            <w:tcW w:w="1312"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47</w:t>
            </w:r>
          </w:p>
        </w:tc>
        <w:tc>
          <w:tcPr>
            <w:tcW w:w="1267"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8</w:t>
            </w:r>
          </w:p>
        </w:tc>
      </w:tr>
      <w:tr>
        <w:trPr/>
        <w:tc>
          <w:tcPr>
            <w:tcW w:w="2711"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Tesorería</w:t>
            </w:r>
          </w:p>
        </w:tc>
        <w:tc>
          <w:tcPr>
            <w:tcW w:w="1048"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66</w:t>
            </w:r>
          </w:p>
        </w:tc>
        <w:tc>
          <w:tcPr>
            <w:tcW w:w="1664"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419</w:t>
            </w:r>
          </w:p>
        </w:tc>
        <w:tc>
          <w:tcPr>
            <w:tcW w:w="1355"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58</w:t>
            </w:r>
          </w:p>
        </w:tc>
        <w:tc>
          <w:tcPr>
            <w:tcW w:w="1312"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50</w:t>
            </w:r>
          </w:p>
        </w:tc>
        <w:tc>
          <w:tcPr>
            <w:tcW w:w="1267"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4</w:t>
            </w:r>
          </w:p>
        </w:tc>
      </w:tr>
      <w:tr>
        <w:trPr/>
        <w:tc>
          <w:tcPr>
            <w:tcW w:w="2711"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Cuentas por Pagar</w:t>
            </w:r>
          </w:p>
        </w:tc>
        <w:tc>
          <w:tcPr>
            <w:tcW w:w="1048"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66</w:t>
            </w:r>
          </w:p>
        </w:tc>
        <w:tc>
          <w:tcPr>
            <w:tcW w:w="1664"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471</w:t>
            </w:r>
          </w:p>
        </w:tc>
        <w:tc>
          <w:tcPr>
            <w:tcW w:w="1355"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31</w:t>
            </w:r>
          </w:p>
        </w:tc>
        <w:tc>
          <w:tcPr>
            <w:tcW w:w="1312"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20</w:t>
            </w:r>
          </w:p>
        </w:tc>
        <w:tc>
          <w:tcPr>
            <w:tcW w:w="1267"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1</w:t>
            </w:r>
          </w:p>
        </w:tc>
      </w:tr>
      <w:tr>
        <w:trPr/>
        <w:tc>
          <w:tcPr>
            <w:tcW w:w="2711"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Cuentas por Cobrar</w:t>
            </w:r>
          </w:p>
        </w:tc>
        <w:tc>
          <w:tcPr>
            <w:tcW w:w="1048"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49</w:t>
            </w:r>
          </w:p>
        </w:tc>
        <w:tc>
          <w:tcPr>
            <w:tcW w:w="1664"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332</w:t>
            </w:r>
          </w:p>
        </w:tc>
        <w:tc>
          <w:tcPr>
            <w:tcW w:w="1355"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23</w:t>
            </w:r>
          </w:p>
        </w:tc>
        <w:tc>
          <w:tcPr>
            <w:tcW w:w="1312"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21</w:t>
            </w:r>
          </w:p>
        </w:tc>
        <w:tc>
          <w:tcPr>
            <w:tcW w:w="1267"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6</w:t>
            </w:r>
          </w:p>
        </w:tc>
      </w:tr>
      <w:tr>
        <w:trPr/>
        <w:tc>
          <w:tcPr>
            <w:tcW w:w="2711"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Contabilidad</w:t>
            </w:r>
          </w:p>
        </w:tc>
        <w:tc>
          <w:tcPr>
            <w:tcW w:w="1048"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29</w:t>
            </w:r>
          </w:p>
        </w:tc>
        <w:tc>
          <w:tcPr>
            <w:tcW w:w="1664"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207</w:t>
            </w:r>
          </w:p>
        </w:tc>
        <w:tc>
          <w:tcPr>
            <w:tcW w:w="1355"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27</w:t>
            </w:r>
          </w:p>
        </w:tc>
        <w:tc>
          <w:tcPr>
            <w:tcW w:w="1312"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22</w:t>
            </w:r>
          </w:p>
        </w:tc>
        <w:tc>
          <w:tcPr>
            <w:tcW w:w="1267"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12</w:t>
            </w:r>
          </w:p>
        </w:tc>
      </w:tr>
      <w:tr>
        <w:trPr/>
        <w:tc>
          <w:tcPr>
            <w:tcW w:w="2711"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Reportes regulatorios</w:t>
            </w:r>
          </w:p>
        </w:tc>
        <w:tc>
          <w:tcPr>
            <w:tcW w:w="1048"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33</w:t>
            </w:r>
          </w:p>
        </w:tc>
        <w:tc>
          <w:tcPr>
            <w:tcW w:w="1664"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128</w:t>
            </w:r>
          </w:p>
        </w:tc>
        <w:tc>
          <w:tcPr>
            <w:tcW w:w="1355"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3</w:t>
            </w:r>
          </w:p>
        </w:tc>
        <w:tc>
          <w:tcPr>
            <w:tcW w:w="1312"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2</w:t>
            </w:r>
          </w:p>
        </w:tc>
        <w:tc>
          <w:tcPr>
            <w:tcW w:w="1267"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w:t>
            </w:r>
          </w:p>
        </w:tc>
      </w:tr>
      <w:tr>
        <w:trPr/>
        <w:tc>
          <w:tcPr>
            <w:tcW w:w="2711"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Seguridad y núcleo</w:t>
            </w:r>
          </w:p>
        </w:tc>
        <w:tc>
          <w:tcPr>
            <w:tcW w:w="1048"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6</w:t>
            </w:r>
          </w:p>
        </w:tc>
        <w:tc>
          <w:tcPr>
            <w:tcW w:w="1664"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27</w:t>
            </w:r>
          </w:p>
        </w:tc>
        <w:tc>
          <w:tcPr>
            <w:tcW w:w="1355"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30 ²</w:t>
            </w:r>
          </w:p>
        </w:tc>
        <w:tc>
          <w:tcPr>
            <w:tcW w:w="1312"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w:t>
            </w:r>
          </w:p>
        </w:tc>
        <w:tc>
          <w:tcPr>
            <w:tcW w:w="1267"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w:t>
            </w:r>
          </w:p>
        </w:tc>
      </w:tr>
      <w:tr>
        <w:trPr/>
        <w:tc>
          <w:tcPr>
            <w:tcW w:w="2711"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App móvil ³</w:t>
            </w:r>
          </w:p>
        </w:tc>
        <w:tc>
          <w:tcPr>
            <w:tcW w:w="1048"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1</w:t>
            </w:r>
          </w:p>
        </w:tc>
        <w:tc>
          <w:tcPr>
            <w:tcW w:w="1664"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31</w:t>
            </w:r>
          </w:p>
        </w:tc>
        <w:tc>
          <w:tcPr>
            <w:tcW w:w="1355"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w:t>
            </w:r>
          </w:p>
        </w:tc>
        <w:tc>
          <w:tcPr>
            <w:tcW w:w="1312"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w:t>
            </w:r>
          </w:p>
        </w:tc>
        <w:tc>
          <w:tcPr>
            <w:tcW w:w="1267"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w:t>
            </w:r>
          </w:p>
        </w:tc>
      </w:tr>
      <w:tr>
        <w:trPr/>
        <w:tc>
          <w:tcPr>
            <w:tcW w:w="2711" w:type="dxa"/>
            <w:tcBorders/>
          </w:tcPr>
          <w:p>
            <w:pPr>
              <w:pStyle w:val="Normal"/>
              <w:widowControl/>
              <w:suppressAutoHyphens w:val="true"/>
              <w:spacing w:lineRule="auto" w:line="259" w:before="0" w:after="160"/>
              <w:jc w:val="left"/>
              <w:rPr>
                <w:sz w:val="22"/>
                <w:lang w:val="es-EC" w:eastAsia="zh-CN" w:bidi="hi-IN"/>
              </w:rPr>
            </w:pPr>
            <w:r>
              <w:rPr>
                <w:rFonts w:eastAsia="Calibri" w:cs="Calibri"/>
                <w:b/>
                <w:kern w:val="0"/>
                <w:sz w:val="22"/>
                <w:szCs w:val="22"/>
                <w:lang w:val="es-EC" w:eastAsia="zh-CN" w:bidi="hi-IN"/>
              </w:rPr>
              <w:t>Total</w:t>
            </w:r>
          </w:p>
        </w:tc>
        <w:tc>
          <w:tcPr>
            <w:tcW w:w="1048" w:type="dxa"/>
            <w:tcBorders/>
          </w:tcPr>
          <w:p>
            <w:pPr>
              <w:pStyle w:val="Normal"/>
              <w:widowControl/>
              <w:suppressAutoHyphens w:val="true"/>
              <w:spacing w:lineRule="auto" w:line="259" w:before="0" w:after="160"/>
              <w:jc w:val="left"/>
              <w:rPr>
                <w:sz w:val="22"/>
                <w:lang w:val="es-EC" w:eastAsia="zh-CN" w:bidi="hi-IN"/>
              </w:rPr>
            </w:pPr>
            <w:r>
              <w:rPr>
                <w:rFonts w:eastAsia="Calibri" w:cs="Calibri"/>
                <w:b/>
                <w:kern w:val="0"/>
                <w:sz w:val="22"/>
                <w:szCs w:val="22"/>
                <w:lang w:val="es-EC" w:eastAsia="zh-CN" w:bidi="hi-IN"/>
              </w:rPr>
              <w:t>427</w:t>
            </w:r>
          </w:p>
        </w:tc>
        <w:tc>
          <w:tcPr>
            <w:tcW w:w="1664" w:type="dxa"/>
            <w:tcBorders/>
          </w:tcPr>
          <w:p>
            <w:pPr>
              <w:pStyle w:val="Normal"/>
              <w:widowControl/>
              <w:suppressAutoHyphens w:val="true"/>
              <w:spacing w:lineRule="auto" w:line="259" w:before="0" w:after="160"/>
              <w:jc w:val="left"/>
              <w:rPr>
                <w:sz w:val="22"/>
                <w:lang w:val="es-EC" w:eastAsia="zh-CN" w:bidi="hi-IN"/>
              </w:rPr>
            </w:pPr>
            <w:r>
              <w:rPr>
                <w:rFonts w:eastAsia="Calibri" w:cs="Calibri"/>
                <w:b/>
                <w:kern w:val="0"/>
                <w:sz w:val="22"/>
                <w:szCs w:val="22"/>
                <w:lang w:val="es-EC" w:eastAsia="zh-CN" w:bidi="hi-IN"/>
              </w:rPr>
              <w:t>2.787</w:t>
            </w:r>
          </w:p>
        </w:tc>
        <w:tc>
          <w:tcPr>
            <w:tcW w:w="1355" w:type="dxa"/>
            <w:tcBorders/>
          </w:tcPr>
          <w:p>
            <w:pPr>
              <w:pStyle w:val="Normal"/>
              <w:widowControl/>
              <w:suppressAutoHyphens w:val="true"/>
              <w:spacing w:lineRule="auto" w:line="259" w:before="0" w:after="160"/>
              <w:jc w:val="left"/>
              <w:rPr>
                <w:sz w:val="22"/>
                <w:lang w:val="es-EC" w:eastAsia="zh-CN" w:bidi="hi-IN"/>
              </w:rPr>
            </w:pPr>
            <w:r>
              <w:rPr>
                <w:rFonts w:eastAsia="Calibri" w:cs="Calibri"/>
                <w:b/>
                <w:kern w:val="0"/>
                <w:sz w:val="22"/>
                <w:szCs w:val="22"/>
                <w:lang w:val="es-EC" w:eastAsia="zh-CN" w:bidi="hi-IN"/>
              </w:rPr>
              <w:t>338</w:t>
            </w:r>
          </w:p>
        </w:tc>
        <w:tc>
          <w:tcPr>
            <w:tcW w:w="1312" w:type="dxa"/>
            <w:tcBorders/>
          </w:tcPr>
          <w:p>
            <w:pPr>
              <w:pStyle w:val="Normal"/>
              <w:widowControl/>
              <w:suppressAutoHyphens w:val="true"/>
              <w:spacing w:lineRule="auto" w:line="259" w:before="0" w:after="160"/>
              <w:jc w:val="left"/>
              <w:rPr>
                <w:sz w:val="22"/>
                <w:lang w:val="es-EC" w:eastAsia="zh-CN" w:bidi="hi-IN"/>
              </w:rPr>
            </w:pPr>
            <w:r>
              <w:rPr>
                <w:rFonts w:eastAsia="Calibri" w:cs="Calibri"/>
                <w:b/>
                <w:kern w:val="0"/>
                <w:sz w:val="22"/>
                <w:szCs w:val="22"/>
                <w:lang w:val="es-EC" w:eastAsia="zh-CN" w:bidi="hi-IN"/>
              </w:rPr>
              <w:t>225</w:t>
            </w:r>
          </w:p>
        </w:tc>
        <w:tc>
          <w:tcPr>
            <w:tcW w:w="1267" w:type="dxa"/>
            <w:tcBorders/>
          </w:tcPr>
          <w:p>
            <w:pPr>
              <w:pStyle w:val="Normal"/>
              <w:widowControl/>
              <w:suppressAutoHyphens w:val="true"/>
              <w:spacing w:lineRule="auto" w:line="259" w:before="0" w:after="160"/>
              <w:jc w:val="left"/>
              <w:rPr>
                <w:sz w:val="22"/>
                <w:lang w:val="es-EC" w:eastAsia="zh-CN" w:bidi="hi-IN"/>
              </w:rPr>
            </w:pPr>
            <w:r>
              <w:rPr>
                <w:rFonts w:eastAsia="Calibri" w:cs="Calibri"/>
                <w:b/>
                <w:kern w:val="0"/>
                <w:sz w:val="22"/>
                <w:szCs w:val="22"/>
                <w:lang w:val="es-EC" w:eastAsia="zh-CN" w:bidi="hi-IN"/>
              </w:rPr>
              <w:t>61</w:t>
            </w:r>
          </w:p>
        </w:tc>
      </w:tr>
    </w:tbl>
    <w:p>
      <w:pPr>
        <w:pStyle w:val="Normal"/>
        <w:rPr>
          <w:lang w:val="es-EC" w:eastAsia="zh-CN" w:bidi="hi-IN"/>
        </w:rPr>
      </w:pPr>
      <w:r>
        <w:rPr>
          <w:lang w:val="es-EC" w:eastAsia="zh-CN" w:bidi="hi-IN"/>
        </w:rPr>
        <w:t xml:space="preserve">² </w:t>
      </w:r>
      <w:r>
        <w:rPr>
          <w:lang w:val="es-EC" w:eastAsia="zh-CN" w:bidi="hi-IN"/>
        </w:rPr>
        <w:t>Incluye 26 componentes compartidos por todos los módulos (diálogos, tablas, filtros) y las pantallas de inicio de sesión y menú.</w:t>
      </w:r>
    </w:p>
    <w:p>
      <w:pPr>
        <w:pStyle w:val="Normal"/>
        <w:rPr/>
      </w:pPr>
      <w:r>
        <w:rPr>
          <w:lang w:val="es-EC" w:eastAsia="zh-CN" w:bidi="hi-IN"/>
        </w:rPr>
        <w:t xml:space="preserve">³ </w:t>
      </w:r>
      <w:r>
        <w:rPr>
          <w:lang w:val="es-EC" w:eastAsia="zh-CN" w:bidi="hi-IN"/>
        </w:rPr>
        <w:t xml:space="preserve">15 operaciones en </w:t>
      </w:r>
      <w:r>
        <w:rPr>
          <w:rStyle w:val="CodeChar"/>
          <w:lang w:val="es-EC" w:eastAsia="zh-CN" w:bidi="hi-IN"/>
        </w:rPr>
        <w:t>/SaaBE/movil</w:t>
      </w:r>
      <w:r>
        <w:rPr>
          <w:lang w:val="es-EC" w:eastAsia="zh-CN" w:bidi="hi-IN"/>
        </w:rPr>
        <w:t xml:space="preserve"> y 16 en la capa de borde </w:t>
      </w:r>
      <w:r>
        <w:rPr>
          <w:rStyle w:val="CodeChar"/>
          <w:lang w:val="es-EC" w:eastAsia="zh-CN" w:bidi="hi-IN"/>
        </w:rPr>
        <w:t>SaaMovilBE</w:t>
      </w:r>
      <w:r>
        <w:rPr>
          <w:lang w:val="es-EC" w:eastAsia="zh-CN" w:bidi="hi-IN"/>
        </w:rPr>
        <w:t xml:space="preserve">. </w:t>
      </w:r>
    </w:p>
    <w:p>
      <w:pPr>
        <w:pStyle w:val="Heading3"/>
        <w:rPr>
          <w:lang w:val="es-EC" w:eastAsia="zh-CN" w:bidi="hi-IN"/>
        </w:rPr>
      </w:pPr>
      <w:r>
        <w:rPr>
          <w:lang w:val="es-EC" w:eastAsia="zh-CN" w:bidi="hi-IN"/>
        </w:rPr>
        <w:t>7.2. Detalle de cada módulo</w:t>
      </w:r>
    </w:p>
    <w:p>
      <w:pPr>
        <w:pStyle w:val="Heading4"/>
        <w:rPr>
          <w:lang w:val="es-EC" w:eastAsia="zh-CN" w:bidi="hi-IN"/>
        </w:rPr>
      </w:pPr>
      <w:r>
        <w:rPr>
          <w:lang w:val="es-EC" w:eastAsia="zh-CN" w:bidi="hi-IN"/>
        </w:rPr>
        <w:t>Créditos (inversiones privativas)</w:t>
      </w:r>
    </w:p>
    <w:p>
      <w:pPr>
        <w:pStyle w:val="Normal"/>
        <w:rPr>
          <w:lang w:val="es-EC" w:eastAsia="zh-CN" w:bidi="hi-IN"/>
        </w:rPr>
      </w:pPr>
      <w:r>
        <w:rPr>
          <w:lang w:val="es-EC" w:eastAsia="zh-CN" w:bidi="hi-IN"/>
        </w:rPr>
        <w:t>Esquema CRD · En producción desde agosto de 2026</w:t>
      </w:r>
    </w:p>
    <w:p>
      <w:pPr>
        <w:pStyle w:val="ListParagraph"/>
        <w:numPr>
          <w:ilvl w:val="0"/>
          <w:numId w:val="2"/>
        </w:numPr>
        <w:rPr>
          <w:lang w:val="es-EC" w:eastAsia="zh-CN" w:bidi="hi-IN"/>
        </w:rPr>
      </w:pPr>
      <w:r>
        <w:rPr>
          <w:lang w:val="es-EC" w:eastAsia="zh-CN" w:bidi="hi-IN"/>
        </w:rPr>
        <w:t>Partícipes y contratos</w:t>
      </w:r>
    </w:p>
    <w:p>
      <w:pPr>
        <w:pStyle w:val="ListParagraph"/>
        <w:numPr>
          <w:ilvl w:val="0"/>
          <w:numId w:val="2"/>
        </w:numPr>
        <w:rPr>
          <w:lang w:val="es-EC" w:eastAsia="zh-CN" w:bidi="hi-IN"/>
        </w:rPr>
      </w:pPr>
      <w:r>
        <w:rPr>
          <w:lang w:val="es-EC" w:eastAsia="zh-CN" w:bidi="hi-IN"/>
        </w:rPr>
        <w:t>Aportes y devolución de aportes</w:t>
      </w:r>
    </w:p>
    <w:p>
      <w:pPr>
        <w:pStyle w:val="ListParagraph"/>
        <w:numPr>
          <w:ilvl w:val="0"/>
          <w:numId w:val="2"/>
        </w:numPr>
        <w:rPr>
          <w:lang w:val="es-EC" w:eastAsia="zh-CN" w:bidi="hi-IN"/>
        </w:rPr>
      </w:pPr>
      <w:r>
        <w:rPr>
          <w:lang w:val="es-EC" w:eastAsia="zh-CN" w:bidi="hi-IN"/>
        </w:rPr>
        <w:t>Cesantía y jubilación</w:t>
      </w:r>
    </w:p>
    <w:p>
      <w:pPr>
        <w:pStyle w:val="ListParagraph"/>
        <w:numPr>
          <w:ilvl w:val="0"/>
          <w:numId w:val="2"/>
        </w:numPr>
        <w:rPr>
          <w:lang w:val="es-EC" w:eastAsia="zh-CN" w:bidi="hi-IN"/>
        </w:rPr>
      </w:pPr>
      <w:r>
        <w:rPr>
          <w:lang w:val="es-EC" w:eastAsia="zh-CN" w:bidi="hi-IN"/>
        </w:rPr>
        <w:t>Préstamos: simulación, tabla de amortización, aprobación y desembolso</w:t>
      </w:r>
    </w:p>
    <w:p>
      <w:pPr>
        <w:pStyle w:val="ListParagraph"/>
        <w:numPr>
          <w:ilvl w:val="0"/>
          <w:numId w:val="2"/>
        </w:numPr>
        <w:rPr>
          <w:lang w:val="es-EC" w:eastAsia="zh-CN" w:bidi="hi-IN"/>
        </w:rPr>
      </w:pPr>
      <w:r>
        <w:rPr>
          <w:lang w:val="es-EC" w:eastAsia="zh-CN" w:bidi="hi-IN"/>
        </w:rPr>
        <w:t>Pago de cuotas, abono a capital y precancelación</w:t>
      </w:r>
    </w:p>
    <w:p>
      <w:pPr>
        <w:pStyle w:val="ListParagraph"/>
        <w:numPr>
          <w:ilvl w:val="0"/>
          <w:numId w:val="2"/>
        </w:numPr>
        <w:rPr>
          <w:lang w:val="es-EC" w:eastAsia="zh-CN" w:bidi="hi-IN"/>
        </w:rPr>
      </w:pPr>
      <w:r>
        <w:rPr>
          <w:lang w:val="es-EC" w:eastAsia="zh-CN" w:bidi="hi-IN"/>
        </w:rPr>
        <w:t>Cálculo diario del interés de mora (proceso automático, 02:00)</w:t>
      </w:r>
    </w:p>
    <w:p>
      <w:pPr>
        <w:pStyle w:val="ListParagraph"/>
        <w:numPr>
          <w:ilvl w:val="0"/>
          <w:numId w:val="2"/>
        </w:numPr>
        <w:rPr>
          <w:lang w:val="es-EC" w:eastAsia="zh-CN" w:bidi="hi-IN"/>
        </w:rPr>
      </w:pPr>
      <w:r>
        <w:rPr>
          <w:lang w:val="es-EC" w:eastAsia="zh-CN" w:bidi="hi-IN"/>
        </w:rPr>
        <w:t>Carga y generación del archivo de descuentos de Petrocomercial</w:t>
      </w:r>
    </w:p>
    <w:p>
      <w:pPr>
        <w:pStyle w:val="ListParagraph"/>
        <w:numPr>
          <w:ilvl w:val="0"/>
          <w:numId w:val="2"/>
        </w:numPr>
        <w:rPr>
          <w:lang w:val="es-EC" w:eastAsia="zh-CN" w:bidi="hi-IN"/>
        </w:rPr>
      </w:pPr>
      <w:r>
        <w:rPr>
          <w:lang w:val="es-EC" w:eastAsia="zh-CN" w:bidi="hi-IN"/>
        </w:rPr>
        <w:t>Cierre mensual de cartera</w:t>
      </w:r>
    </w:p>
    <w:p>
      <w:pPr>
        <w:pStyle w:val="ListParagraph"/>
        <w:numPr>
          <w:ilvl w:val="0"/>
          <w:numId w:val="2"/>
        </w:numPr>
        <w:rPr>
          <w:lang w:val="es-EC" w:eastAsia="zh-CN" w:bidi="hi-IN"/>
        </w:rPr>
      </w:pPr>
      <w:r>
        <w:rPr>
          <w:lang w:val="es-EC" w:eastAsia="zh-CN" w:bidi="hi-IN"/>
        </w:rPr>
        <w:t>Seguros de préstamos</w:t>
      </w:r>
    </w:p>
    <w:p>
      <w:pPr>
        <w:pStyle w:val="ListParagraph"/>
        <w:numPr>
          <w:ilvl w:val="0"/>
          <w:numId w:val="2"/>
        </w:numPr>
        <w:rPr>
          <w:lang w:val="es-EC" w:eastAsia="zh-CN" w:bidi="hi-IN"/>
        </w:rPr>
      </w:pPr>
      <w:r>
        <w:rPr>
          <w:lang w:val="es-EC" w:eastAsia="zh-CN" w:bidi="hi-IN"/>
        </w:rPr>
        <w:t>Contabilización con bandeja de aprobación</w:t>
      </w:r>
    </w:p>
    <w:p>
      <w:pPr>
        <w:pStyle w:val="Heading4"/>
        <w:rPr>
          <w:lang w:val="es-EC" w:eastAsia="zh-CN" w:bidi="hi-IN"/>
        </w:rPr>
      </w:pPr>
      <w:r>
        <w:rPr>
          <w:lang w:val="es-EC" w:eastAsia="zh-CN" w:bidi="hi-IN"/>
        </w:rPr>
        <w:t>Recursos Humanos</w:t>
      </w:r>
    </w:p>
    <w:p>
      <w:pPr>
        <w:pStyle w:val="Normal"/>
        <w:rPr>
          <w:lang w:val="es-EC" w:eastAsia="zh-CN" w:bidi="hi-IN"/>
        </w:rPr>
      </w:pPr>
      <w:r>
        <w:rPr>
          <w:lang w:val="es-EC" w:eastAsia="zh-CN" w:bidi="hi-IN"/>
        </w:rPr>
        <w:t>Esquema RHH · En producción desde agosto de 2026</w:t>
      </w:r>
    </w:p>
    <w:p>
      <w:pPr>
        <w:pStyle w:val="ListParagraph"/>
        <w:numPr>
          <w:ilvl w:val="0"/>
          <w:numId w:val="2"/>
        </w:numPr>
        <w:rPr>
          <w:lang w:val="es-EC" w:eastAsia="zh-CN" w:bidi="hi-IN"/>
        </w:rPr>
      </w:pPr>
      <w:r>
        <w:rPr>
          <w:lang w:val="es-EC" w:eastAsia="zh-CN" w:bidi="hi-IN"/>
        </w:rPr>
        <w:t>Ficha del colaborador y contratos</w:t>
      </w:r>
    </w:p>
    <w:p>
      <w:pPr>
        <w:pStyle w:val="ListParagraph"/>
        <w:numPr>
          <w:ilvl w:val="0"/>
          <w:numId w:val="2"/>
        </w:numPr>
        <w:rPr>
          <w:lang w:val="es-EC" w:eastAsia="zh-CN" w:bidi="hi-IN"/>
        </w:rPr>
      </w:pPr>
      <w:r>
        <w:rPr>
          <w:lang w:val="es-EC" w:eastAsia="zh-CN" w:bidi="hi-IN"/>
        </w:rPr>
        <w:t>Conceptos y parámetros de nómina</w:t>
      </w:r>
    </w:p>
    <w:p>
      <w:pPr>
        <w:pStyle w:val="ListParagraph"/>
        <w:numPr>
          <w:ilvl w:val="0"/>
          <w:numId w:val="2"/>
        </w:numPr>
        <w:rPr>
          <w:lang w:val="es-EC" w:eastAsia="zh-CN" w:bidi="hi-IN"/>
        </w:rPr>
      </w:pPr>
      <w:r>
        <w:rPr>
          <w:lang w:val="es-EC" w:eastAsia="zh-CN" w:bidi="hi-IN"/>
        </w:rPr>
        <w:t>Rol de pagos y su contabilización</w:t>
      </w:r>
    </w:p>
    <w:p>
      <w:pPr>
        <w:pStyle w:val="ListParagraph"/>
        <w:numPr>
          <w:ilvl w:val="0"/>
          <w:numId w:val="2"/>
        </w:numPr>
        <w:rPr>
          <w:lang w:val="es-EC" w:eastAsia="zh-CN" w:bidi="hi-IN"/>
        </w:rPr>
      </w:pPr>
      <w:r>
        <w:rPr>
          <w:lang w:val="es-EC" w:eastAsia="zh-CN" w:bidi="hi-IN"/>
        </w:rPr>
        <w:t>Órdenes de pago y archivo bancario</w:t>
      </w:r>
    </w:p>
    <w:p>
      <w:pPr>
        <w:pStyle w:val="ListParagraph"/>
        <w:numPr>
          <w:ilvl w:val="0"/>
          <w:numId w:val="2"/>
        </w:numPr>
        <w:rPr>
          <w:lang w:val="es-EC" w:eastAsia="zh-CN" w:bidi="hi-IN"/>
        </w:rPr>
      </w:pPr>
      <w:r>
        <w:rPr>
          <w:lang w:val="es-EC" w:eastAsia="zh-CN" w:bidi="hi-IN"/>
        </w:rPr>
        <w:t>Planillas y novedades del IESS</w:t>
      </w:r>
    </w:p>
    <w:p>
      <w:pPr>
        <w:pStyle w:val="ListParagraph"/>
        <w:numPr>
          <w:ilvl w:val="0"/>
          <w:numId w:val="2"/>
        </w:numPr>
        <w:rPr>
          <w:lang w:val="es-EC" w:eastAsia="zh-CN" w:bidi="hi-IN"/>
        </w:rPr>
      </w:pPr>
      <w:r>
        <w:rPr>
          <w:lang w:val="es-EC" w:eastAsia="zh-CN" w:bidi="hi-IN"/>
        </w:rPr>
        <w:t>Marcaciones y asistencia</w:t>
      </w:r>
    </w:p>
    <w:p>
      <w:pPr>
        <w:pStyle w:val="ListParagraph"/>
        <w:numPr>
          <w:ilvl w:val="0"/>
          <w:numId w:val="2"/>
        </w:numPr>
        <w:rPr>
          <w:lang w:val="es-EC" w:eastAsia="zh-CN" w:bidi="hi-IN"/>
        </w:rPr>
      </w:pPr>
      <w:r>
        <w:rPr>
          <w:lang w:val="es-EC" w:eastAsia="zh-CN" w:bidi="hi-IN"/>
        </w:rPr>
        <w:t>Vacaciones y permisos</w:t>
      </w:r>
    </w:p>
    <w:p>
      <w:pPr>
        <w:pStyle w:val="ListParagraph"/>
        <w:numPr>
          <w:ilvl w:val="0"/>
          <w:numId w:val="2"/>
        </w:numPr>
        <w:rPr>
          <w:lang w:val="es-EC" w:eastAsia="zh-CN" w:bidi="hi-IN"/>
        </w:rPr>
      </w:pPr>
      <w:r>
        <w:rPr>
          <w:lang w:val="es-EC" w:eastAsia="zh-CN" w:bidi="hi-IN"/>
        </w:rPr>
        <w:t>Liquidaciones y beneficios sociales</w:t>
      </w:r>
    </w:p>
    <w:p>
      <w:pPr>
        <w:pStyle w:val="ListParagraph"/>
        <w:numPr>
          <w:ilvl w:val="0"/>
          <w:numId w:val="2"/>
        </w:numPr>
        <w:rPr>
          <w:lang w:val="es-EC" w:eastAsia="zh-CN" w:bidi="hi-IN"/>
        </w:rPr>
      </w:pPr>
      <w:r>
        <w:rPr>
          <w:lang w:val="es-EC" w:eastAsia="zh-CN" w:bidi="hi-IN"/>
        </w:rPr>
        <w:t>Utilidades e impuesto a la renta</w:t>
      </w:r>
    </w:p>
    <w:p>
      <w:pPr>
        <w:pStyle w:val="Heading4"/>
        <w:rPr>
          <w:lang w:val="es-EC" w:eastAsia="zh-CN" w:bidi="hi-IN"/>
        </w:rPr>
      </w:pPr>
      <w:r>
        <w:rPr>
          <w:lang w:val="es-EC" w:eastAsia="zh-CN" w:bidi="hi-IN"/>
        </w:rPr>
        <w:t>Tesorería</w:t>
      </w:r>
    </w:p>
    <w:p>
      <w:pPr>
        <w:pStyle w:val="Normal"/>
        <w:rPr>
          <w:lang w:val="es-EC" w:eastAsia="zh-CN" w:bidi="hi-IN"/>
        </w:rPr>
      </w:pPr>
      <w:r>
        <w:rPr>
          <w:lang w:val="es-EC" w:eastAsia="zh-CN" w:bidi="hi-IN"/>
        </w:rPr>
        <w:t>Esquema TSR · En producción desde agosto de 2026</w:t>
      </w:r>
    </w:p>
    <w:p>
      <w:pPr>
        <w:pStyle w:val="ListParagraph"/>
        <w:numPr>
          <w:ilvl w:val="0"/>
          <w:numId w:val="2"/>
        </w:numPr>
        <w:rPr>
          <w:lang w:val="es-EC" w:eastAsia="zh-CN" w:bidi="hi-IN"/>
        </w:rPr>
      </w:pPr>
      <w:r>
        <w:rPr>
          <w:lang w:val="es-EC" w:eastAsia="zh-CN" w:bidi="hi-IN"/>
        </w:rPr>
        <w:t>Bancos, cuentas bancarias y chequeras</w:t>
      </w:r>
    </w:p>
    <w:p>
      <w:pPr>
        <w:pStyle w:val="ListParagraph"/>
        <w:numPr>
          <w:ilvl w:val="0"/>
          <w:numId w:val="2"/>
        </w:numPr>
        <w:rPr>
          <w:lang w:val="es-EC" w:eastAsia="zh-CN" w:bidi="hi-IN"/>
        </w:rPr>
      </w:pPr>
      <w:r>
        <w:rPr>
          <w:lang w:val="es-EC" w:eastAsia="zh-CN" w:bidi="hi-IN"/>
        </w:rPr>
        <w:t>Cajas</w:t>
      </w:r>
    </w:p>
    <w:p>
      <w:pPr>
        <w:pStyle w:val="ListParagraph"/>
        <w:numPr>
          <w:ilvl w:val="0"/>
          <w:numId w:val="2"/>
        </w:numPr>
        <w:rPr>
          <w:lang w:val="es-EC" w:eastAsia="zh-CN" w:bidi="hi-IN"/>
        </w:rPr>
      </w:pPr>
      <w:r>
        <w:rPr>
          <w:lang w:val="es-EC" w:eastAsia="zh-CN" w:bidi="hi-IN"/>
        </w:rPr>
        <w:t>Cobros en efectivo, cheque, tarjeta, transferencia y retención</w:t>
      </w:r>
    </w:p>
    <w:p>
      <w:pPr>
        <w:pStyle w:val="ListParagraph"/>
        <w:numPr>
          <w:ilvl w:val="0"/>
          <w:numId w:val="2"/>
        </w:numPr>
        <w:rPr>
          <w:lang w:val="es-EC" w:eastAsia="zh-CN" w:bidi="hi-IN"/>
        </w:rPr>
      </w:pPr>
      <w:r>
        <w:rPr>
          <w:lang w:val="es-EC" w:eastAsia="zh-CN" w:bidi="hi-IN"/>
        </w:rPr>
        <w:t>Cierre de caja y depósitos</w:t>
      </w:r>
    </w:p>
    <w:p>
      <w:pPr>
        <w:pStyle w:val="ListParagraph"/>
        <w:numPr>
          <w:ilvl w:val="0"/>
          <w:numId w:val="2"/>
        </w:numPr>
        <w:rPr>
          <w:lang w:val="es-EC" w:eastAsia="zh-CN" w:bidi="hi-IN"/>
        </w:rPr>
      </w:pPr>
      <w:r>
        <w:rPr>
          <w:lang w:val="es-EC" w:eastAsia="zh-CN" w:bidi="hi-IN"/>
        </w:rPr>
        <w:t>Ingresos y egresos</w:t>
      </w:r>
    </w:p>
    <w:p>
      <w:pPr>
        <w:pStyle w:val="ListParagraph"/>
        <w:numPr>
          <w:ilvl w:val="0"/>
          <w:numId w:val="2"/>
        </w:numPr>
        <w:rPr>
          <w:lang w:val="es-EC" w:eastAsia="zh-CN" w:bidi="hi-IN"/>
        </w:rPr>
      </w:pPr>
      <w:r>
        <w:rPr>
          <w:lang w:val="es-EC" w:eastAsia="zh-CN" w:bidi="hi-IN"/>
        </w:rPr>
        <w:t>Aprobación de pagos y archivo bancario</w:t>
      </w:r>
    </w:p>
    <w:p>
      <w:pPr>
        <w:pStyle w:val="ListParagraph"/>
        <w:numPr>
          <w:ilvl w:val="0"/>
          <w:numId w:val="2"/>
        </w:numPr>
        <w:rPr>
          <w:lang w:val="es-EC" w:eastAsia="zh-CN" w:bidi="hi-IN"/>
        </w:rPr>
      </w:pPr>
      <w:r>
        <w:rPr>
          <w:lang w:val="es-EC" w:eastAsia="zh-CN" w:bidi="hi-IN"/>
        </w:rPr>
        <w:t>Carga de extractos bancarios</w:t>
      </w:r>
    </w:p>
    <w:p>
      <w:pPr>
        <w:pStyle w:val="ListParagraph"/>
        <w:numPr>
          <w:ilvl w:val="0"/>
          <w:numId w:val="2"/>
        </w:numPr>
        <w:rPr>
          <w:lang w:val="es-EC" w:eastAsia="zh-CN" w:bidi="hi-IN"/>
        </w:rPr>
      </w:pPr>
      <w:r>
        <w:rPr>
          <w:lang w:val="es-EC" w:eastAsia="zh-CN" w:bidi="hi-IN"/>
        </w:rPr>
        <w:t>Conciliación bancaria</w:t>
      </w:r>
    </w:p>
    <w:p>
      <w:pPr>
        <w:pStyle w:val="Heading4"/>
        <w:rPr>
          <w:lang w:val="es-EC" w:eastAsia="zh-CN" w:bidi="hi-IN"/>
        </w:rPr>
      </w:pPr>
      <w:r>
        <w:rPr>
          <w:lang w:val="es-EC" w:eastAsia="zh-CN" w:bidi="hi-IN"/>
        </w:rPr>
        <w:t>Cuentas por Pagar</w:t>
      </w:r>
    </w:p>
    <w:p>
      <w:pPr>
        <w:pStyle w:val="Normal"/>
        <w:rPr>
          <w:lang w:val="es-EC" w:eastAsia="zh-CN" w:bidi="hi-IN"/>
        </w:rPr>
      </w:pPr>
      <w:r>
        <w:rPr>
          <w:lang w:val="es-EC" w:eastAsia="zh-CN" w:bidi="hi-IN"/>
        </w:rPr>
        <w:t>Esquema PGS · En producción desde agosto de 2026</w:t>
      </w:r>
    </w:p>
    <w:p>
      <w:pPr>
        <w:pStyle w:val="ListParagraph"/>
        <w:numPr>
          <w:ilvl w:val="0"/>
          <w:numId w:val="2"/>
        </w:numPr>
        <w:rPr>
          <w:lang w:val="es-EC" w:eastAsia="zh-CN" w:bidi="hi-IN"/>
        </w:rPr>
      </w:pPr>
      <w:r>
        <w:rPr>
          <w:lang w:val="es-EC" w:eastAsia="zh-CN" w:bidi="hi-IN"/>
        </w:rPr>
        <w:t>Carga de comprobantes recibidos del SRI (TXT y XML)</w:t>
      </w:r>
    </w:p>
    <w:p>
      <w:pPr>
        <w:pStyle w:val="ListParagraph"/>
        <w:numPr>
          <w:ilvl w:val="0"/>
          <w:numId w:val="2"/>
        </w:numPr>
        <w:rPr>
          <w:lang w:val="es-EC" w:eastAsia="zh-CN" w:bidi="hi-IN"/>
        </w:rPr>
      </w:pPr>
      <w:r>
        <w:rPr>
          <w:lang w:val="es-EC" w:eastAsia="zh-CN" w:bidi="hi-IN"/>
        </w:rPr>
        <w:t>Facturas de compra y retenciones</w:t>
      </w:r>
    </w:p>
    <w:p>
      <w:pPr>
        <w:pStyle w:val="ListParagraph"/>
        <w:numPr>
          <w:ilvl w:val="0"/>
          <w:numId w:val="2"/>
        </w:numPr>
        <w:rPr>
          <w:lang w:val="es-EC" w:eastAsia="zh-CN" w:bidi="hi-IN"/>
        </w:rPr>
      </w:pPr>
      <w:r>
        <w:rPr>
          <w:lang w:val="es-EC" w:eastAsia="zh-CN" w:bidi="hi-IN"/>
        </w:rPr>
        <w:t>Proposición y aprobación de pagos</w:t>
      </w:r>
    </w:p>
    <w:p>
      <w:pPr>
        <w:pStyle w:val="ListParagraph"/>
        <w:numPr>
          <w:ilvl w:val="0"/>
          <w:numId w:val="2"/>
        </w:numPr>
        <w:rPr>
          <w:lang w:val="es-EC" w:eastAsia="zh-CN" w:bidi="hi-IN"/>
        </w:rPr>
      </w:pPr>
      <w:r>
        <w:rPr>
          <w:lang w:val="es-EC" w:eastAsia="zh-CN" w:bidi="hi-IN"/>
        </w:rPr>
        <w:t>Pagos programados</w:t>
      </w:r>
    </w:p>
    <w:p>
      <w:pPr>
        <w:pStyle w:val="ListParagraph"/>
        <w:numPr>
          <w:ilvl w:val="0"/>
          <w:numId w:val="2"/>
        </w:numPr>
        <w:rPr>
          <w:lang w:val="es-EC" w:eastAsia="zh-CN" w:bidi="hi-IN"/>
        </w:rPr>
      </w:pPr>
      <w:r>
        <w:rPr>
          <w:lang w:val="es-EC" w:eastAsia="zh-CN" w:bidi="hi-IN"/>
        </w:rPr>
        <w:t>Anticipos y devoluciones a proveedores</w:t>
      </w:r>
    </w:p>
    <w:p>
      <w:pPr>
        <w:pStyle w:val="ListParagraph"/>
        <w:numPr>
          <w:ilvl w:val="0"/>
          <w:numId w:val="2"/>
        </w:numPr>
        <w:rPr>
          <w:lang w:val="es-EC" w:eastAsia="zh-CN" w:bidi="hi-IN"/>
        </w:rPr>
      </w:pPr>
      <w:r>
        <w:rPr>
          <w:lang w:val="es-EC" w:eastAsia="zh-CN" w:bidi="hi-IN"/>
        </w:rPr>
        <w:t>Negociaciones con proveedores</w:t>
      </w:r>
    </w:p>
    <w:p>
      <w:pPr>
        <w:pStyle w:val="ListParagraph"/>
        <w:numPr>
          <w:ilvl w:val="0"/>
          <w:numId w:val="2"/>
        </w:numPr>
        <w:rPr>
          <w:lang w:val="es-EC" w:eastAsia="zh-CN" w:bidi="hi-IN"/>
        </w:rPr>
      </w:pPr>
      <w:r>
        <w:rPr>
          <w:lang w:val="es-EC" w:eastAsia="zh-CN" w:bidi="hi-IN"/>
        </w:rPr>
        <w:t>Reembolsos</w:t>
      </w:r>
    </w:p>
    <w:p>
      <w:pPr>
        <w:pStyle w:val="Heading4"/>
        <w:rPr>
          <w:lang w:val="es-EC" w:eastAsia="zh-CN" w:bidi="hi-IN"/>
        </w:rPr>
      </w:pPr>
      <w:r>
        <w:rPr>
          <w:lang w:val="es-EC" w:eastAsia="zh-CN" w:bidi="hi-IN"/>
        </w:rPr>
        <w:t>Cuentas por Cobrar</w:t>
      </w:r>
    </w:p>
    <w:p>
      <w:pPr>
        <w:pStyle w:val="Normal"/>
        <w:rPr>
          <w:lang w:val="es-EC" w:eastAsia="zh-CN" w:bidi="hi-IN"/>
        </w:rPr>
      </w:pPr>
      <w:r>
        <w:rPr>
          <w:lang w:val="es-EC" w:eastAsia="zh-CN" w:bidi="hi-IN"/>
        </w:rPr>
        <w:t>Esquema CBR · En producción desde agosto de 2026</w:t>
      </w:r>
    </w:p>
    <w:p>
      <w:pPr>
        <w:pStyle w:val="ListParagraph"/>
        <w:numPr>
          <w:ilvl w:val="0"/>
          <w:numId w:val="2"/>
        </w:numPr>
        <w:rPr>
          <w:lang w:val="es-EC" w:eastAsia="zh-CN" w:bidi="hi-IN"/>
        </w:rPr>
      </w:pPr>
      <w:r>
        <w:rPr>
          <w:lang w:val="es-EC" w:eastAsia="zh-CN" w:bidi="hi-IN"/>
        </w:rPr>
        <w:t>Facturación electrónica</w:t>
      </w:r>
    </w:p>
    <w:p>
      <w:pPr>
        <w:pStyle w:val="ListParagraph"/>
        <w:numPr>
          <w:ilvl w:val="0"/>
          <w:numId w:val="2"/>
        </w:numPr>
        <w:rPr>
          <w:lang w:val="es-EC" w:eastAsia="zh-CN" w:bidi="hi-IN"/>
        </w:rPr>
      </w:pPr>
      <w:r>
        <w:rPr>
          <w:lang w:val="es-EC" w:eastAsia="zh-CN" w:bidi="hi-IN"/>
        </w:rPr>
        <w:t>Notas de crédito y débito</w:t>
      </w:r>
    </w:p>
    <w:p>
      <w:pPr>
        <w:pStyle w:val="ListParagraph"/>
        <w:numPr>
          <w:ilvl w:val="0"/>
          <w:numId w:val="2"/>
        </w:numPr>
        <w:rPr>
          <w:lang w:val="es-EC" w:eastAsia="zh-CN" w:bidi="hi-IN"/>
        </w:rPr>
      </w:pPr>
      <w:r>
        <w:rPr>
          <w:lang w:val="es-EC" w:eastAsia="zh-CN" w:bidi="hi-IN"/>
        </w:rPr>
        <w:t>Liquidaciones de compra</w:t>
      </w:r>
    </w:p>
    <w:p>
      <w:pPr>
        <w:pStyle w:val="ListParagraph"/>
        <w:numPr>
          <w:ilvl w:val="0"/>
          <w:numId w:val="2"/>
        </w:numPr>
        <w:rPr>
          <w:lang w:val="es-EC" w:eastAsia="zh-CN" w:bidi="hi-IN"/>
        </w:rPr>
      </w:pPr>
      <w:r>
        <w:rPr>
          <w:lang w:val="es-EC" w:eastAsia="zh-CN" w:bidi="hi-IN"/>
        </w:rPr>
        <w:t>Retenciones</w:t>
      </w:r>
    </w:p>
    <w:p>
      <w:pPr>
        <w:pStyle w:val="ListParagraph"/>
        <w:numPr>
          <w:ilvl w:val="0"/>
          <w:numId w:val="2"/>
        </w:numPr>
        <w:rPr>
          <w:lang w:val="es-EC" w:eastAsia="zh-CN" w:bidi="hi-IN"/>
        </w:rPr>
      </w:pPr>
      <w:r>
        <w:rPr>
          <w:lang w:val="es-EC" w:eastAsia="zh-CN" w:bidi="hi-IN"/>
        </w:rPr>
        <w:t>Anticipos de clientes y cruce</w:t>
      </w:r>
    </w:p>
    <w:p>
      <w:pPr>
        <w:pStyle w:val="ListParagraph"/>
        <w:numPr>
          <w:ilvl w:val="0"/>
          <w:numId w:val="2"/>
        </w:numPr>
        <w:rPr>
          <w:lang w:val="es-EC" w:eastAsia="zh-CN" w:bidi="hi-IN"/>
        </w:rPr>
      </w:pPr>
      <w:r>
        <w:rPr>
          <w:lang w:val="es-EC" w:eastAsia="zh-CN" w:bidi="hi-IN"/>
        </w:rPr>
        <w:t>Envío de comprobantes por correo</w:t>
      </w:r>
    </w:p>
    <w:p>
      <w:pPr>
        <w:pStyle w:val="ListParagraph"/>
        <w:numPr>
          <w:ilvl w:val="0"/>
          <w:numId w:val="2"/>
        </w:numPr>
        <w:rPr>
          <w:lang w:val="es-EC" w:eastAsia="zh-CN" w:bidi="hi-IN"/>
        </w:rPr>
      </w:pPr>
      <w:r>
        <w:rPr>
          <w:lang w:val="es-EC" w:eastAsia="zh-CN" w:bidi="hi-IN"/>
        </w:rPr>
        <w:t>Anexo Transaccional Simplificado y cuadre con el SRI</w:t>
      </w:r>
    </w:p>
    <w:p>
      <w:pPr>
        <w:pStyle w:val="Heading4"/>
        <w:rPr>
          <w:lang w:val="es-EC" w:eastAsia="zh-CN" w:bidi="hi-IN"/>
        </w:rPr>
      </w:pPr>
      <w:r>
        <w:rPr>
          <w:lang w:val="es-EC" w:eastAsia="zh-CN" w:bidi="hi-IN"/>
        </w:rPr>
        <w:t>Contabilidad</w:t>
      </w:r>
    </w:p>
    <w:p>
      <w:pPr>
        <w:pStyle w:val="Normal"/>
        <w:rPr>
          <w:lang w:val="es-EC" w:eastAsia="zh-CN" w:bidi="hi-IN"/>
        </w:rPr>
      </w:pPr>
      <w:r>
        <w:rPr>
          <w:lang w:val="es-EC" w:eastAsia="zh-CN" w:bidi="hi-IN"/>
        </w:rPr>
        <w:t>Esquema CNT · En producción desde agosto de 2026</w:t>
      </w:r>
    </w:p>
    <w:p>
      <w:pPr>
        <w:pStyle w:val="ListParagraph"/>
        <w:numPr>
          <w:ilvl w:val="0"/>
          <w:numId w:val="2"/>
        </w:numPr>
        <w:rPr>
          <w:lang w:val="es-EC" w:eastAsia="zh-CN" w:bidi="hi-IN"/>
        </w:rPr>
      </w:pPr>
      <w:r>
        <w:rPr>
          <w:lang w:val="es-EC" w:eastAsia="zh-CN" w:bidi="hi-IN"/>
        </w:rPr>
        <w:t>Plan de cuentas y centros de costo</w:t>
      </w:r>
    </w:p>
    <w:p>
      <w:pPr>
        <w:pStyle w:val="ListParagraph"/>
        <w:numPr>
          <w:ilvl w:val="0"/>
          <w:numId w:val="2"/>
        </w:numPr>
        <w:rPr>
          <w:lang w:val="es-EC" w:eastAsia="zh-CN" w:bidi="hi-IN"/>
        </w:rPr>
      </w:pPr>
      <w:r>
        <w:rPr>
          <w:lang w:val="es-EC" w:eastAsia="zh-CN" w:bidi="hi-IN"/>
        </w:rPr>
        <w:t>Tipos de asiento y plantillas contables</w:t>
      </w:r>
    </w:p>
    <w:p>
      <w:pPr>
        <w:pStyle w:val="ListParagraph"/>
        <w:numPr>
          <w:ilvl w:val="0"/>
          <w:numId w:val="2"/>
        </w:numPr>
        <w:rPr>
          <w:lang w:val="es-EC" w:eastAsia="zh-CN" w:bidi="hi-IN"/>
        </w:rPr>
      </w:pPr>
      <w:r>
        <w:rPr>
          <w:lang w:val="es-EC" w:eastAsia="zh-CN" w:bidi="hi-IN"/>
        </w:rPr>
        <w:t>Registro de asientos</w:t>
      </w:r>
    </w:p>
    <w:p>
      <w:pPr>
        <w:pStyle w:val="ListParagraph"/>
        <w:numPr>
          <w:ilvl w:val="0"/>
          <w:numId w:val="2"/>
        </w:numPr>
        <w:rPr>
          <w:lang w:val="es-EC" w:eastAsia="zh-CN" w:bidi="hi-IN"/>
        </w:rPr>
      </w:pPr>
      <w:r>
        <w:rPr>
          <w:lang w:val="es-EC" w:eastAsia="zh-CN" w:bidi="hi-IN"/>
        </w:rPr>
        <w:t>Periodos contables y mayorización</w:t>
      </w:r>
    </w:p>
    <w:p>
      <w:pPr>
        <w:pStyle w:val="ListParagraph"/>
        <w:numPr>
          <w:ilvl w:val="0"/>
          <w:numId w:val="2"/>
        </w:numPr>
        <w:rPr>
          <w:lang w:val="es-EC" w:eastAsia="zh-CN" w:bidi="hi-IN"/>
        </w:rPr>
      </w:pPr>
      <w:r>
        <w:rPr>
          <w:lang w:val="es-EC" w:eastAsia="zh-CN" w:bidi="hi-IN"/>
        </w:rPr>
        <w:t>Mayor analítico</w:t>
      </w:r>
    </w:p>
    <w:p>
      <w:pPr>
        <w:pStyle w:val="ListParagraph"/>
        <w:numPr>
          <w:ilvl w:val="0"/>
          <w:numId w:val="2"/>
        </w:numPr>
        <w:rPr>
          <w:lang w:val="es-EC" w:eastAsia="zh-CN" w:bidi="hi-IN"/>
        </w:rPr>
      </w:pPr>
      <w:r>
        <w:rPr>
          <w:lang w:val="es-EC" w:eastAsia="zh-CN" w:bidi="hi-IN"/>
        </w:rPr>
        <w:t>Balances y estados financieros</w:t>
      </w:r>
    </w:p>
    <w:p>
      <w:pPr>
        <w:pStyle w:val="Heading4"/>
        <w:rPr>
          <w:lang w:val="es-EC" w:eastAsia="zh-CN" w:bidi="hi-IN"/>
        </w:rPr>
      </w:pPr>
      <w:r>
        <w:rPr>
          <w:lang w:val="es-EC" w:eastAsia="zh-CN" w:bidi="hi-IN"/>
        </w:rPr>
        <w:t>Reportes regulatorios</w:t>
      </w:r>
    </w:p>
    <w:p>
      <w:pPr>
        <w:pStyle w:val="Normal"/>
        <w:rPr>
          <w:lang w:val="es-EC" w:eastAsia="zh-CN" w:bidi="hi-IN"/>
        </w:rPr>
      </w:pPr>
      <w:r>
        <w:rPr>
          <w:lang w:val="es-EC" w:eastAsia="zh-CN" w:bidi="hi-IN"/>
        </w:rPr>
        <w:t>Esquema RPR · En producción desde agosto de 2026</w:t>
      </w:r>
    </w:p>
    <w:p>
      <w:pPr>
        <w:pStyle w:val="ListParagraph"/>
        <w:numPr>
          <w:ilvl w:val="0"/>
          <w:numId w:val="2"/>
        </w:numPr>
        <w:rPr>
          <w:lang w:val="es-EC" w:eastAsia="zh-CN" w:bidi="hi-IN"/>
        </w:rPr>
      </w:pPr>
      <w:r>
        <w:rPr>
          <w:lang w:val="es-EC" w:eastAsia="zh-CN" w:bidi="hi-IN"/>
        </w:rPr>
        <w:t>Estructuras G40 a G51 de la Superintendencia de Bancos</w:t>
      </w:r>
    </w:p>
    <w:p>
      <w:pPr>
        <w:pStyle w:val="ListParagraph"/>
        <w:numPr>
          <w:ilvl w:val="0"/>
          <w:numId w:val="2"/>
        </w:numPr>
        <w:rPr>
          <w:lang w:val="es-EC" w:eastAsia="zh-CN" w:bidi="hi-IN"/>
        </w:rPr>
      </w:pPr>
      <w:r>
        <w:rPr>
          <w:lang w:val="es-EC" w:eastAsia="zh-CN" w:bidi="hi-IN"/>
        </w:rPr>
        <w:t>Informes mensuales de cartera.</w:t>
      </w:r>
    </w:p>
    <w:p>
      <w:pPr>
        <w:pStyle w:val="Heading4"/>
        <w:rPr>
          <w:lang w:val="es-EC" w:eastAsia="zh-CN" w:bidi="hi-IN"/>
        </w:rPr>
      </w:pPr>
      <w:r>
        <w:rPr>
          <w:lang w:val="es-EC" w:eastAsia="zh-CN" w:bidi="hi-IN"/>
        </w:rPr>
        <w:t>Seguridad y núcleo</w:t>
      </w:r>
    </w:p>
    <w:p>
      <w:pPr>
        <w:pStyle w:val="Normal"/>
        <w:rPr>
          <w:lang w:val="es-EC" w:eastAsia="zh-CN" w:bidi="hi-IN"/>
        </w:rPr>
      </w:pPr>
      <w:r>
        <w:rPr>
          <w:lang w:val="es-EC" w:eastAsia="zh-CN" w:bidi="hi-IN"/>
        </w:rPr>
        <w:t>Esquema SCP · En producción desde agosto de 2026</w:t>
      </w:r>
    </w:p>
    <w:p>
      <w:pPr>
        <w:pStyle w:val="ListParagraph"/>
        <w:numPr>
          <w:ilvl w:val="0"/>
          <w:numId w:val="2"/>
        </w:numPr>
        <w:rPr>
          <w:lang w:val="es-EC" w:eastAsia="zh-CN" w:bidi="hi-IN"/>
        </w:rPr>
      </w:pPr>
      <w:r>
        <w:rPr>
          <w:lang w:val="es-EC" w:eastAsia="zh-CN" w:bidi="hi-IN"/>
        </w:rPr>
        <w:t>Empresas, usuarios y jerarquía</w:t>
      </w:r>
    </w:p>
    <w:p>
      <w:pPr>
        <w:pStyle w:val="ListParagraph"/>
        <w:numPr>
          <w:ilvl w:val="0"/>
          <w:numId w:val="2"/>
        </w:numPr>
        <w:rPr>
          <w:lang w:val="es-EC" w:eastAsia="zh-CN" w:bidi="hi-IN"/>
        </w:rPr>
      </w:pPr>
      <w:r>
        <w:rPr>
          <w:lang w:val="es-EC" w:eastAsia="zh-CN" w:bidi="hi-IN"/>
        </w:rPr>
        <w:t>Inicio de sesión y cambio de clave</w:t>
      </w:r>
    </w:p>
    <w:p>
      <w:pPr>
        <w:pStyle w:val="ListParagraph"/>
        <w:numPr>
          <w:ilvl w:val="0"/>
          <w:numId w:val="2"/>
        </w:numPr>
        <w:rPr>
          <w:lang w:val="es-EC" w:eastAsia="zh-CN" w:bidi="hi-IN"/>
        </w:rPr>
      </w:pPr>
      <w:r>
        <w:rPr>
          <w:lang w:val="es-EC" w:eastAsia="zh-CN" w:bidi="hi-IN"/>
        </w:rPr>
        <w:t>Más de 120 catálogos parametrizables</w:t>
      </w:r>
    </w:p>
    <w:p>
      <w:pPr>
        <w:pStyle w:val="ListParagraph"/>
        <w:numPr>
          <w:ilvl w:val="0"/>
          <w:numId w:val="2"/>
        </w:numPr>
        <w:rPr>
          <w:lang w:val="es-EC" w:eastAsia="zh-CN" w:bidi="hi-IN"/>
        </w:rPr>
      </w:pPr>
      <w:r>
        <w:rPr>
          <w:lang w:val="es-EC" w:eastAsia="zh-CN" w:bidi="hi-IN"/>
        </w:rPr>
        <w:t>Archivos adjuntos</w:t>
      </w:r>
    </w:p>
    <w:p>
      <w:pPr>
        <w:pStyle w:val="ListParagraph"/>
        <w:numPr>
          <w:ilvl w:val="0"/>
          <w:numId w:val="2"/>
        </w:numPr>
        <w:rPr>
          <w:lang w:val="es-EC" w:eastAsia="zh-CN" w:bidi="hi-IN"/>
        </w:rPr>
      </w:pPr>
      <w:r>
        <w:rPr>
          <w:lang w:val="es-EC" w:eastAsia="zh-CN" w:bidi="hi-IN"/>
        </w:rPr>
        <w:t>Generación de reportes</w:t>
      </w:r>
    </w:p>
    <w:p>
      <w:pPr>
        <w:pStyle w:val="Heading4"/>
        <w:rPr>
          <w:lang w:val="es-EC" w:eastAsia="zh-CN" w:bidi="hi-IN"/>
        </w:rPr>
      </w:pPr>
      <w:r>
        <w:rPr>
          <w:lang w:val="es-EC" w:eastAsia="zh-CN" w:bidi="hi-IN"/>
        </w:rPr>
        <w:t>Aplicación móvil ASOPREP CONTIGO</w:t>
      </w:r>
    </w:p>
    <w:p>
      <w:pPr>
        <w:pStyle w:val="Normal"/>
        <w:rPr>
          <w:lang w:val="es-EC" w:eastAsia="zh-CN" w:bidi="hi-IN"/>
        </w:rPr>
      </w:pPr>
      <w:r>
        <w:rPr>
          <w:lang w:val="es-EC" w:eastAsia="zh-CN" w:bidi="hi-IN"/>
        </w:rPr>
        <w:t xml:space="preserve">Consulta el esquema CRD · Desarrollada, </w:t>
      </w:r>
      <w:r>
        <w:rPr>
          <w:b/>
          <w:lang w:val="es-EC" w:eastAsia="zh-CN" w:bidi="hi-IN"/>
        </w:rPr>
        <w:t>pendiente de publicación</w:t>
      </w:r>
      <w:r>
        <w:rPr>
          <w:lang w:val="es-EC" w:eastAsia="zh-CN" w:bidi="hi-IN"/>
        </w:rPr>
        <w:t xml:space="preserve"> (IP pública y certificado TLS)</w:t>
      </w:r>
    </w:p>
    <w:p>
      <w:pPr>
        <w:pStyle w:val="ListParagraph"/>
        <w:numPr>
          <w:ilvl w:val="0"/>
          <w:numId w:val="2"/>
        </w:numPr>
        <w:rPr>
          <w:lang w:val="es-EC" w:eastAsia="zh-CN" w:bidi="hi-IN"/>
        </w:rPr>
      </w:pPr>
      <w:r>
        <w:rPr>
          <w:lang w:val="es-EC" w:eastAsia="zh-CN" w:bidi="hi-IN"/>
        </w:rPr>
        <w:t>Acceso del partícipe y recuperación de clave por correo</w:t>
      </w:r>
    </w:p>
    <w:p>
      <w:pPr>
        <w:pStyle w:val="ListParagraph"/>
        <w:numPr>
          <w:ilvl w:val="0"/>
          <w:numId w:val="2"/>
        </w:numPr>
        <w:rPr>
          <w:lang w:val="es-EC" w:eastAsia="zh-CN" w:bidi="hi-IN"/>
        </w:rPr>
      </w:pPr>
      <w:r>
        <w:rPr>
          <w:lang w:val="es-EC" w:eastAsia="zh-CN" w:bidi="hi-IN"/>
        </w:rPr>
        <w:t>Préstamos y cuotas</w:t>
      </w:r>
    </w:p>
    <w:p>
      <w:pPr>
        <w:pStyle w:val="ListParagraph"/>
        <w:numPr>
          <w:ilvl w:val="0"/>
          <w:numId w:val="2"/>
        </w:numPr>
        <w:rPr>
          <w:lang w:val="es-EC" w:eastAsia="zh-CN" w:bidi="hi-IN"/>
        </w:rPr>
      </w:pPr>
      <w:r>
        <w:rPr>
          <w:lang w:val="es-EC" w:eastAsia="zh-CN" w:bidi="hi-IN"/>
        </w:rPr>
        <w:t>Aportes y cuenta individual</w:t>
      </w:r>
    </w:p>
    <w:p>
      <w:pPr>
        <w:pStyle w:val="Normal"/>
        <w:rPr>
          <w:lang w:val="es-EC" w:eastAsia="zh-CN" w:bidi="hi-IN"/>
        </w:rPr>
      </w:pPr>
      <w:r>
        <w:rPr>
          <w:lang w:val="es-EC" w:eastAsia="zh-CN" w:bidi="hi-IN"/>
        </w:rPr>
        <w:t xml:space="preserve">Además hay un </w:t>
      </w:r>
      <w:r>
        <w:rPr>
          <w:b/>
          <w:lang w:val="es-EC" w:eastAsia="zh-CN" w:bidi="hi-IN"/>
        </w:rPr>
        <w:t>proceso automático</w:t>
      </w:r>
      <w:r>
        <w:rPr>
          <w:lang w:val="es-EC" w:eastAsia="zh-CN" w:bidi="hi-IN"/>
        </w:rPr>
        <w:t>: el cálculo del interés de mora de las cuotas vencidas, todos los días a las 02:00 (Créditos). El archivo de pagos por lote de Cuentas por Pagar está marcado en el código como provisional; los pagos a proveedores salen por el archivo bancario de Tesorería.</w:t>
      </w:r>
    </w:p>
    <w:p>
      <w:pPr>
        <w:pStyle w:val="Normal"/>
        <w:rPr>
          <w:lang w:val="es-EC" w:eastAsia="zh-CN" w:bidi="hi-IN"/>
        </w:rPr>
      </w:pPr>
      <w:r>
        <w:rPr>
          <w:b/>
          <w:lang w:val="es-EC" w:eastAsia="zh-CN" w:bidi="hi-IN"/>
        </w:rPr>
        <w:t>Sistemas retirados.</w:t>
      </w:r>
      <w:r>
        <w:rPr>
          <w:lang w:val="es-EC" w:eastAsia="zh-CN" w:bidi="hi-IN"/>
        </w:rPr>
        <w:t xml:space="preserve"> DELTA 21, el sistema anterior, está retirado: su información histórica se migró al módulo de Créditos. En el 192.168.2.3 quedan contenedores apagados de una aplicación anterior (.NET con SQL Server), ajena al SAA.</w:t>
      </w:r>
    </w:p>
    <w:p>
      <w:pPr>
        <w:pStyle w:val="Heading2"/>
        <w:rPr>
          <w:lang w:val="es-EC" w:eastAsia="zh-CN" w:bidi="hi-IN"/>
        </w:rPr>
      </w:pPr>
      <w:r>
        <w:rPr>
          <w:lang w:val="es-EC" w:eastAsia="zh-CN" w:bidi="hi-IN"/>
        </w:rPr>
        <w:t>10. Listados de usuarios configurados para bases de datos, servidores y aplicación SAA que incluya: Nombres y apellidos de las personas, área funcional, rol, perfil, permisos</w:t>
      </w:r>
    </w:p>
    <w:p>
      <w:pPr>
        <w:pStyle w:val="Normal"/>
        <w:rPr>
          <w:lang w:val="es-EC" w:eastAsia="zh-CN" w:bidi="hi-IN"/>
        </w:rPr>
      </w:pPr>
      <w:r>
        <w:rPr>
          <w:lang w:val="es-EC" w:eastAsia="zh-CN" w:bidi="hi-IN"/>
        </w:rPr>
        <w:t xml:space="preserve">Los usuarios están en cuatro niveles: base de datos, servidores, aplicación SAA y aplicación móvil. Esta sección describe cómo está configurado cada nivel a la fecha de corte. </w:t>
      </w:r>
      <w:r>
        <w:rPr>
          <w:b/>
          <w:lang w:val="es-EC" w:eastAsia="zh-CN" w:bidi="hi-IN"/>
        </w:rPr>
        <w:t>Los datos son de producción al 25 de octubre de 2026</w:t>
      </w:r>
      <w:r>
        <w:rPr>
          <w:lang w:val="es-EC" w:eastAsia="zh-CN" w:bidi="hi-IN"/>
        </w:rPr>
        <w:t>.</w:t>
      </w:r>
    </w:p>
    <w:p>
      <w:pPr>
        <w:pStyle w:val="Heading3"/>
        <w:rPr>
          <w:lang w:val="es-EC" w:eastAsia="zh-CN" w:bidi="hi-IN"/>
        </w:rPr>
      </w:pPr>
      <w:r>
        <w:rPr>
          <w:lang w:val="es-EC" w:eastAsia="zh-CN" w:bidi="hi-IN"/>
        </w:rPr>
        <w:t>10.1. Base de datos (Oracle)</w:t>
      </w:r>
    </w:p>
    <w:p>
      <w:pPr>
        <w:pStyle w:val="Normal"/>
        <w:rPr>
          <w:lang w:val="es-EC" w:eastAsia="zh-CN" w:bidi="hi-IN"/>
        </w:rPr>
      </w:pPr>
      <w:r>
        <w:rPr>
          <w:lang w:val="es-EC" w:eastAsia="zh-CN" w:bidi="hi-IN"/>
        </w:rPr>
        <w:t xml:space="preserve">Cada área tiene su propio esquema, que en Oracle es un usuario propietario de sus tablas. La aplicación se conecta con </w:t>
      </w:r>
      <w:r>
        <w:rPr>
          <w:b/>
          <w:lang w:val="es-EC" w:eastAsia="zh-CN" w:bidi="hi-IN"/>
        </w:rPr>
        <w:t>un único usuario, SCP</w:t>
      </w:r>
      <w:r>
        <w:rPr>
          <w:lang w:val="es-EC" w:eastAsia="zh-CN" w:bidi="hi-IN"/>
        </w:rPr>
        <w:t>: es la única cuenta con ingresos recientes en la base de producción. Datos de producción al 25 de octubre de 2026.</w:t>
      </w:r>
    </w:p>
    <w:tbl>
      <w:tblPr>
        <w:tblStyle w:val="TableGrid"/>
        <w:tblW w:w="9360" w:type="dxa"/>
        <w:jc w:val="left"/>
        <w:tblInd w:w="0" w:type="dxa"/>
        <w:tblLayout w:type="fixed"/>
        <w:tblCellMar>
          <w:top w:w="0" w:type="dxa"/>
          <w:left w:w="108" w:type="dxa"/>
          <w:bottom w:w="0" w:type="dxa"/>
          <w:right w:w="108" w:type="dxa"/>
        </w:tblCellMar>
        <w:tblLook w:val="0420" w:firstRow="1" w:noVBand="1" w:lastRow="0" w:firstColumn="0" w:lastColumn="0" w:noHBand="0"/>
      </w:tblPr>
      <w:tblGrid>
        <w:gridCol w:w="1462"/>
        <w:gridCol w:w="2731"/>
        <w:gridCol w:w="2352"/>
        <w:gridCol w:w="1305"/>
        <w:gridCol w:w="1510"/>
      </w:tblGrid>
      <w:tr>
        <w:trPr>
          <w:tblHeader w:val="true"/>
        </w:trPr>
        <w:tc>
          <w:tcPr>
            <w:tcW w:w="1462" w:type="dxa"/>
            <w:tcBorders/>
            <w:shd w:color="auto" w:fill="F2F2F2" w:val="clear"/>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Usuario</w:t>
            </w:r>
          </w:p>
        </w:tc>
        <w:tc>
          <w:tcPr>
            <w:tcW w:w="2731" w:type="dxa"/>
            <w:tcBorders/>
            <w:shd w:color="auto" w:fill="F2F2F2" w:val="clear"/>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Uso</w:t>
            </w:r>
          </w:p>
        </w:tc>
        <w:tc>
          <w:tcPr>
            <w:tcW w:w="2352" w:type="dxa"/>
            <w:tcBorders/>
            <w:shd w:color="auto" w:fill="F2F2F2" w:val="clear"/>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Roles y privilegios</w:t>
            </w:r>
          </w:p>
        </w:tc>
        <w:tc>
          <w:tcPr>
            <w:tcW w:w="1305" w:type="dxa"/>
            <w:tcBorders/>
            <w:shd w:color="auto" w:fill="F2F2F2" w:val="clear"/>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Estado</w:t>
            </w:r>
          </w:p>
        </w:tc>
        <w:tc>
          <w:tcPr>
            <w:tcW w:w="1510" w:type="dxa"/>
            <w:tcBorders/>
            <w:shd w:color="auto" w:fill="F2F2F2" w:val="clear"/>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Vence la clave</w:t>
            </w:r>
          </w:p>
        </w:tc>
      </w:tr>
      <w:tr>
        <w:trPr/>
        <w:tc>
          <w:tcPr>
            <w:tcW w:w="1462"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SCP</w:t>
            </w:r>
          </w:p>
        </w:tc>
        <w:tc>
          <w:tcPr>
            <w:tcW w:w="2731"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 xml:space="preserve">Esquema del núcleo y </w:t>
            </w:r>
            <w:r>
              <w:rPr>
                <w:rFonts w:eastAsia="Calibri" w:cs="Calibri"/>
                <w:b/>
                <w:kern w:val="0"/>
                <w:sz w:val="22"/>
                <w:szCs w:val="22"/>
                <w:lang w:val="es-EC" w:eastAsia="zh-CN" w:bidi="hi-IN"/>
              </w:rPr>
              <w:t>usuario de conexión de la aplicación</w:t>
            </w:r>
            <w:r>
              <w:rPr>
                <w:rFonts w:eastAsia="Calibri" w:cs="Calibri"/>
                <w:kern w:val="0"/>
                <w:sz w:val="22"/>
                <w:szCs w:val="22"/>
                <w:lang w:val="es-EC" w:eastAsia="zh-CN" w:bidi="hi-IN"/>
              </w:rPr>
              <w:t>; último ingreso el 24-oct-2026</w:t>
            </w:r>
          </w:p>
        </w:tc>
        <w:tc>
          <w:tcPr>
            <w:tcW w:w="2352"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 xml:space="preserve">CONNECT, RESOURCE, </w:t>
            </w:r>
            <w:r>
              <w:rPr>
                <w:rFonts w:eastAsia="Calibri" w:cs="Calibri"/>
                <w:b/>
                <w:kern w:val="0"/>
                <w:sz w:val="22"/>
                <w:szCs w:val="22"/>
                <w:lang w:val="es-EC" w:eastAsia="zh-CN" w:bidi="hi-IN"/>
              </w:rPr>
              <w:t>DBA</w:t>
            </w:r>
            <w:r>
              <w:rPr>
                <w:rFonts w:eastAsia="Calibri" w:cs="Calibri"/>
                <w:kern w:val="0"/>
                <w:sz w:val="22"/>
                <w:szCs w:val="22"/>
                <w:lang w:val="es-EC" w:eastAsia="zh-CN" w:bidi="hi-IN"/>
              </w:rPr>
              <w:t>, UNLIMITED TABLESPACE</w:t>
            </w:r>
          </w:p>
        </w:tc>
        <w:tc>
          <w:tcPr>
            <w:tcW w:w="1305"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Abierta</w:t>
            </w:r>
          </w:p>
        </w:tc>
        <w:tc>
          <w:tcPr>
            <w:tcW w:w="1510"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7-mar-2027</w:t>
            </w:r>
          </w:p>
        </w:tc>
      </w:tr>
      <w:tr>
        <w:trPr/>
        <w:tc>
          <w:tcPr>
            <w:tcW w:w="1462"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CBR, CNT, CRD, PGS, RPR, TSR</w:t>
            </w:r>
          </w:p>
        </w:tc>
        <w:tc>
          <w:tcPr>
            <w:tcW w:w="2731"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Propietarios de los esquemas de cada módulo; no se usan para conectarse</w:t>
            </w:r>
          </w:p>
        </w:tc>
        <w:tc>
          <w:tcPr>
            <w:tcW w:w="2352"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 xml:space="preserve">CONNECT, RESOURCE, </w:t>
            </w:r>
            <w:r>
              <w:rPr>
                <w:rFonts w:eastAsia="Calibri" w:cs="Calibri"/>
                <w:b/>
                <w:kern w:val="0"/>
                <w:sz w:val="22"/>
                <w:szCs w:val="22"/>
                <w:lang w:val="es-EC" w:eastAsia="zh-CN" w:bidi="hi-IN"/>
              </w:rPr>
              <w:t>DBA</w:t>
            </w:r>
            <w:r>
              <w:rPr>
                <w:rFonts w:eastAsia="Calibri" w:cs="Calibri"/>
                <w:kern w:val="0"/>
                <w:sz w:val="22"/>
                <w:szCs w:val="22"/>
                <w:lang w:val="es-EC" w:eastAsia="zh-CN" w:bidi="hi-IN"/>
              </w:rPr>
              <w:t>, UNLIMITED TABLESPACE</w:t>
            </w:r>
          </w:p>
        </w:tc>
        <w:tc>
          <w:tcPr>
            <w:tcW w:w="1305"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Abiertas</w:t>
            </w:r>
          </w:p>
        </w:tc>
        <w:tc>
          <w:tcPr>
            <w:tcW w:w="1510"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7-mar-2027</w:t>
            </w:r>
          </w:p>
        </w:tc>
      </w:tr>
      <w:tr>
        <w:trPr/>
        <w:tc>
          <w:tcPr>
            <w:tcW w:w="1462"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RHH</w:t>
            </w:r>
          </w:p>
        </w:tc>
        <w:tc>
          <w:tcPr>
            <w:tcW w:w="2731"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Propietario del esquema de Recursos Humanos</w:t>
            </w:r>
          </w:p>
        </w:tc>
        <w:tc>
          <w:tcPr>
            <w:tcW w:w="2352"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Sin roles ni privilegios de conexión</w:t>
            </w:r>
          </w:p>
        </w:tc>
        <w:tc>
          <w:tcPr>
            <w:tcW w:w="1305"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Abierta</w:t>
            </w:r>
          </w:p>
        </w:tc>
        <w:tc>
          <w:tcPr>
            <w:tcW w:w="1510"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Sin vencimiento</w:t>
            </w:r>
          </w:p>
        </w:tc>
      </w:tr>
      <w:tr>
        <w:trPr/>
        <w:tc>
          <w:tcPr>
            <w:tcW w:w="1462"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PDBADMIN</w:t>
            </w:r>
          </w:p>
        </w:tc>
        <w:tc>
          <w:tcPr>
            <w:tcW w:w="2731"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Administrador del PDB, creado por la imagen de Oracle</w:t>
            </w:r>
          </w:p>
        </w:tc>
        <w:tc>
          <w:tcPr>
            <w:tcW w:w="2352"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PDB_DBA, con opción de administración</w:t>
            </w:r>
          </w:p>
        </w:tc>
        <w:tc>
          <w:tcPr>
            <w:tcW w:w="1305" w:type="dxa"/>
            <w:tcBorders/>
          </w:tcPr>
          <w:p>
            <w:pPr>
              <w:pStyle w:val="Normal"/>
              <w:widowControl/>
              <w:suppressAutoHyphens w:val="true"/>
              <w:spacing w:lineRule="auto" w:line="259" w:before="0" w:after="160"/>
              <w:jc w:val="left"/>
              <w:rPr>
                <w:sz w:val="22"/>
                <w:lang w:val="es-EC" w:eastAsia="zh-CN" w:bidi="hi-IN"/>
              </w:rPr>
            </w:pPr>
            <w:r>
              <w:rPr>
                <w:rFonts w:eastAsia="Calibri" w:cs="Calibri"/>
                <w:b/>
                <w:kern w:val="0"/>
                <w:sz w:val="22"/>
                <w:szCs w:val="22"/>
                <w:lang w:val="es-EC" w:eastAsia="zh-CN" w:bidi="hi-IN"/>
              </w:rPr>
              <w:t>Bloqueada</w:t>
            </w:r>
            <w:r>
              <w:rPr>
                <w:rFonts w:eastAsia="Calibri" w:cs="Calibri"/>
                <w:kern w:val="0"/>
                <w:sz w:val="22"/>
                <w:szCs w:val="22"/>
                <w:lang w:val="es-EC" w:eastAsia="zh-CN" w:bidi="hi-IN"/>
              </w:rPr>
              <w:t xml:space="preserve"> desde el 24-oct-2026</w:t>
            </w:r>
          </w:p>
        </w:tc>
        <w:tc>
          <w:tcPr>
            <w:tcW w:w="1510"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3-mar-2027</w:t>
            </w:r>
          </w:p>
        </w:tc>
      </w:tr>
    </w:tbl>
    <w:p>
      <w:pPr>
        <w:pStyle w:val="Normal"/>
        <w:rPr>
          <w:lang w:val="es-EC" w:eastAsia="zh-CN" w:bidi="hi-IN"/>
        </w:rPr>
      </w:pPr>
      <w:r>
        <w:rPr>
          <w:lang w:val="es-EC" w:eastAsia="zh-CN" w:bidi="hi-IN"/>
        </w:rPr>
        <w:t xml:space="preserve">Todas las cuentas usan el perfil </w:t>
      </w:r>
      <w:r>
        <w:rPr>
          <w:b/>
          <w:lang w:val="es-EC" w:eastAsia="zh-CN" w:bidi="hi-IN"/>
        </w:rPr>
        <w:t>DEFAULT</w:t>
      </w:r>
      <w:r>
        <w:rPr>
          <w:lang w:val="es-EC" w:eastAsia="zh-CN" w:bidi="hi-IN"/>
        </w:rPr>
        <w:t>: bloqueo tras 10 intentos fallidos, vigencia de 180 días con 7 de gracia, sin función de complejidad y sin límite de reutilización.</w:t>
      </w:r>
    </w:p>
    <w:p>
      <w:pPr>
        <w:pStyle w:val="Heading3"/>
        <w:rPr>
          <w:lang w:val="es-EC" w:eastAsia="zh-CN" w:bidi="hi-IN"/>
        </w:rPr>
      </w:pPr>
      <w:r>
        <w:rPr>
          <w:lang w:val="es-EC" w:eastAsia="zh-CN" w:bidi="hi-IN"/>
        </w:rPr>
        <w:t>10.2. Servidores (Windows Server)</w:t>
      </w:r>
    </w:p>
    <w:tbl>
      <w:tblPr>
        <w:tblStyle w:val="TableGrid"/>
        <w:tblW w:w="9360" w:type="dxa"/>
        <w:jc w:val="left"/>
        <w:tblInd w:w="0" w:type="dxa"/>
        <w:tblLayout w:type="fixed"/>
        <w:tblCellMar>
          <w:top w:w="0" w:type="dxa"/>
          <w:left w:w="108" w:type="dxa"/>
          <w:bottom w:w="0" w:type="dxa"/>
          <w:right w:w="108" w:type="dxa"/>
        </w:tblCellMar>
        <w:tblLook w:val="0420" w:firstRow="1" w:noVBand="1" w:lastRow="0" w:firstColumn="0" w:lastColumn="0" w:noHBand="0"/>
      </w:tblPr>
      <w:tblGrid>
        <w:gridCol w:w="3041"/>
        <w:gridCol w:w="1551"/>
        <w:gridCol w:w="2534"/>
        <w:gridCol w:w="2234"/>
      </w:tblGrid>
      <w:tr>
        <w:trPr>
          <w:tblHeader w:val="true"/>
        </w:trPr>
        <w:tc>
          <w:tcPr>
            <w:tcW w:w="3041" w:type="dxa"/>
            <w:tcBorders/>
            <w:shd w:color="auto" w:fill="F2F2F2" w:val="clear"/>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Cuenta</w:t>
            </w:r>
          </w:p>
        </w:tc>
        <w:tc>
          <w:tcPr>
            <w:tcW w:w="1551" w:type="dxa"/>
            <w:tcBorders/>
            <w:shd w:color="auto" w:fill="F2F2F2" w:val="clear"/>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Tipo</w:t>
            </w:r>
          </w:p>
        </w:tc>
        <w:tc>
          <w:tcPr>
            <w:tcW w:w="2534" w:type="dxa"/>
            <w:tcBorders/>
            <w:shd w:color="auto" w:fill="F2F2F2" w:val="clear"/>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Grupo y permisos</w:t>
            </w:r>
          </w:p>
        </w:tc>
        <w:tc>
          <w:tcPr>
            <w:tcW w:w="2234" w:type="dxa"/>
            <w:tcBorders/>
            <w:shd w:color="auto" w:fill="F2F2F2" w:val="clear"/>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Estado</w:t>
            </w:r>
          </w:p>
        </w:tc>
      </w:tr>
      <w:tr>
        <w:trPr/>
        <w:tc>
          <w:tcPr>
            <w:tcW w:w="3041"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ASOPREP\Domain Admins</w:t>
            </w:r>
          </w:p>
        </w:tc>
        <w:tc>
          <w:tcPr>
            <w:tcW w:w="1551"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Grupo del dominio</w:t>
            </w:r>
          </w:p>
        </w:tc>
        <w:tc>
          <w:tcPr>
            <w:tcW w:w="2534"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Administradores en los dos servidores</w:t>
            </w:r>
          </w:p>
        </w:tc>
        <w:tc>
          <w:tcPr>
            <w:tcW w:w="2234"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w:t>
            </w:r>
          </w:p>
        </w:tc>
      </w:tr>
      <w:tr>
        <w:trPr/>
        <w:tc>
          <w:tcPr>
            <w:tcW w:w="3041"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ASOPREP\Administrator</w:t>
            </w:r>
          </w:p>
        </w:tc>
        <w:tc>
          <w:tcPr>
            <w:tcW w:w="1551"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Cuenta del dominio</w:t>
            </w:r>
          </w:p>
        </w:tc>
        <w:tc>
          <w:tcPr>
            <w:tcW w:w="2534"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Se usa para administrar los servidores</w:t>
            </w:r>
          </w:p>
        </w:tc>
        <w:tc>
          <w:tcPr>
            <w:tcW w:w="2234"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Activa</w:t>
            </w:r>
          </w:p>
        </w:tc>
      </w:tr>
      <w:tr>
        <w:trPr/>
        <w:tc>
          <w:tcPr>
            <w:tcW w:w="3041"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SRVDEV2\Administrador</w:t>
            </w:r>
          </w:p>
        </w:tc>
        <w:tc>
          <w:tcPr>
            <w:tcW w:w="1551"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Local</w:t>
            </w:r>
          </w:p>
        </w:tc>
        <w:tc>
          <w:tcPr>
            <w:tcW w:w="2534"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Administradores</w:t>
            </w:r>
          </w:p>
        </w:tc>
        <w:tc>
          <w:tcPr>
            <w:tcW w:w="2234"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Habilitada; último ingreso el 16-oct-2025</w:t>
            </w:r>
          </w:p>
        </w:tc>
      </w:tr>
      <w:tr>
        <w:trPr/>
        <w:tc>
          <w:tcPr>
            <w:tcW w:w="3041"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SRVDEV1\Administrador</w:t>
            </w:r>
          </w:p>
        </w:tc>
        <w:tc>
          <w:tcPr>
            <w:tcW w:w="1551"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Local</w:t>
            </w:r>
          </w:p>
        </w:tc>
        <w:tc>
          <w:tcPr>
            <w:tcW w:w="2534"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Administradores</w:t>
            </w:r>
          </w:p>
        </w:tc>
        <w:tc>
          <w:tcPr>
            <w:tcW w:w="2234"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Habilitada; último ingreso el 16-oct-2025</w:t>
            </w:r>
          </w:p>
        </w:tc>
      </w:tr>
      <w:tr>
        <w:trPr/>
        <w:tc>
          <w:tcPr>
            <w:tcW w:w="3041"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Invitado, DefaultAccount, WDAGUtilityAccount</w:t>
            </w:r>
          </w:p>
        </w:tc>
        <w:tc>
          <w:tcPr>
            <w:tcW w:w="1551"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Locales del sistema</w:t>
            </w:r>
          </w:p>
        </w:tc>
        <w:tc>
          <w:tcPr>
            <w:tcW w:w="2534"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w:t>
            </w:r>
          </w:p>
        </w:tc>
        <w:tc>
          <w:tcPr>
            <w:tcW w:w="2234"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Deshabilitadas</w:t>
            </w:r>
          </w:p>
        </w:tc>
      </w:tr>
    </w:tbl>
    <w:p>
      <w:pPr>
        <w:pStyle w:val="Normal"/>
        <w:rPr>
          <w:lang w:val="es-EC" w:eastAsia="zh-CN" w:bidi="hi-IN"/>
        </w:rPr>
      </w:pPr>
      <w:r>
        <w:rPr>
          <w:lang w:val="es-EC" w:eastAsia="zh-CN" w:bidi="hi-IN"/>
        </w:rPr>
        <w:t>El grupo de usuarios de escritorio remoto está vacío en los dos servidores, así que solo los administradores pueden conectarse. La política local de contraseñas exige 7 caracteres, vigencia de 42 días e historial de 24, sin bloqueo por intentos fallidos.</w:t>
      </w:r>
    </w:p>
    <w:p>
      <w:pPr>
        <w:pStyle w:val="Heading3"/>
        <w:rPr>
          <w:lang w:val="es-EC" w:eastAsia="zh-CN" w:bidi="hi-IN"/>
        </w:rPr>
      </w:pPr>
      <w:r>
        <w:rPr>
          <w:lang w:val="es-EC" w:eastAsia="zh-CN" w:bidi="hi-IN"/>
        </w:rPr>
        <w:t>10.3. Aplicación SAA</w:t>
      </w:r>
    </w:p>
    <w:p>
      <w:pPr>
        <w:pStyle w:val="Normal"/>
        <w:rPr>
          <w:lang w:val="es-EC" w:eastAsia="zh-CN" w:bidi="hi-IN"/>
        </w:rPr>
      </w:pPr>
      <w:r>
        <w:rPr>
          <w:b/>
          <w:lang w:val="es-EC" w:eastAsia="zh-CN" w:bidi="hi-IN"/>
        </w:rPr>
        <w:t>Cómo está configurado el acceso, según el código:</w:t>
      </w:r>
    </w:p>
    <w:tbl>
      <w:tblPr>
        <w:tblStyle w:val="TableGrid"/>
        <w:tblW w:w="9360" w:type="dxa"/>
        <w:jc w:val="left"/>
        <w:tblInd w:w="0" w:type="dxa"/>
        <w:tblLayout w:type="fixed"/>
        <w:tblCellMar>
          <w:top w:w="0" w:type="dxa"/>
          <w:left w:w="108" w:type="dxa"/>
          <w:bottom w:w="0" w:type="dxa"/>
          <w:right w:w="108" w:type="dxa"/>
        </w:tblCellMar>
        <w:tblLook w:val="0420" w:firstRow="1" w:noVBand="1" w:lastRow="0" w:firstColumn="0" w:lastColumn="0" w:noHBand="0"/>
      </w:tblPr>
      <w:tblGrid>
        <w:gridCol w:w="3104"/>
        <w:gridCol w:w="2787"/>
        <w:gridCol w:w="3469"/>
      </w:tblGrid>
      <w:tr>
        <w:trPr>
          <w:tblHeader w:val="true"/>
        </w:trPr>
        <w:tc>
          <w:tcPr>
            <w:tcW w:w="3104" w:type="dxa"/>
            <w:tcBorders/>
            <w:shd w:color="auto" w:fill="F2F2F2" w:val="clear"/>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Elemento</w:t>
            </w:r>
          </w:p>
        </w:tc>
        <w:tc>
          <w:tcPr>
            <w:tcW w:w="2787" w:type="dxa"/>
            <w:tcBorders/>
            <w:shd w:color="auto" w:fill="F2F2F2" w:val="clear"/>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Dónde está</w:t>
            </w:r>
          </w:p>
        </w:tc>
        <w:tc>
          <w:tcPr>
            <w:tcW w:w="3469" w:type="dxa"/>
            <w:tcBorders/>
            <w:shd w:color="auto" w:fill="F2F2F2" w:val="clear"/>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Situación al 25-oct-2026</w:t>
            </w:r>
          </w:p>
        </w:tc>
      </w:tr>
      <w:tr>
        <w:trPr/>
        <w:tc>
          <w:tcPr>
            <w:tcW w:w="3104"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Usuario</w:t>
            </w:r>
          </w:p>
        </w:tc>
        <w:tc>
          <w:tcPr>
            <w:tcW w:w="2787" w:type="dxa"/>
            <w:tcBorders/>
          </w:tcPr>
          <w:p>
            <w:pPr>
              <w:pStyle w:val="Normal"/>
              <w:widowControl/>
              <w:suppressAutoHyphens w:val="true"/>
              <w:spacing w:lineRule="auto" w:line="259" w:before="0" w:after="160"/>
              <w:jc w:val="left"/>
              <w:rPr>
                <w:sz w:val="22"/>
              </w:rPr>
            </w:pPr>
            <w:r>
              <w:rPr>
                <w:rStyle w:val="CodeChar"/>
                <w:kern w:val="0"/>
                <w:szCs w:val="22"/>
                <w:lang w:val="es-EC" w:eastAsia="zh-CN" w:bidi="hi-IN"/>
              </w:rPr>
              <w:t>SCP.PJRQ</w:t>
            </w:r>
            <w:r>
              <w:rPr>
                <w:rFonts w:eastAsia="Calibri" w:cs="Calibri"/>
                <w:kern w:val="0"/>
                <w:sz w:val="22"/>
                <w:szCs w:val="22"/>
                <w:lang w:val="es-EC" w:eastAsia="zh-CN" w:bidi="hi-IN"/>
              </w:rPr>
              <w:t>, nodos de jerarquía tipo usuario</w:t>
            </w:r>
          </w:p>
        </w:tc>
        <w:tc>
          <w:tcPr>
            <w:tcW w:w="3469"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Guarda el nombre de inicio de sesión. Nombres, apellidos y área no están en el sistema</w:t>
            </w:r>
          </w:p>
        </w:tc>
      </w:tr>
      <w:tr>
        <w:trPr/>
        <w:tc>
          <w:tcPr>
            <w:tcW w:w="3104"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Estado</w:t>
            </w:r>
          </w:p>
        </w:tc>
        <w:tc>
          <w:tcPr>
            <w:tcW w:w="2787" w:type="dxa"/>
            <w:tcBorders/>
          </w:tcPr>
          <w:p>
            <w:pPr>
              <w:pStyle w:val="Normal"/>
              <w:widowControl/>
              <w:suppressAutoHyphens w:val="true"/>
              <w:spacing w:lineRule="auto" w:line="259" w:before="0" w:after="160"/>
              <w:jc w:val="left"/>
              <w:rPr>
                <w:sz w:val="22"/>
              </w:rPr>
            </w:pPr>
            <w:r>
              <w:rPr>
                <w:rStyle w:val="CodeChar"/>
                <w:kern w:val="0"/>
                <w:szCs w:val="22"/>
                <w:lang w:val="es-EC" w:eastAsia="zh-CN" w:bidi="hi-IN"/>
              </w:rPr>
              <w:t>SCP.PDCN</w:t>
            </w:r>
            <w:r>
              <w:rPr>
                <w:rFonts w:eastAsia="Calibri" w:cs="Calibri"/>
                <w:kern w:val="0"/>
                <w:sz w:val="22"/>
                <w:szCs w:val="22"/>
                <w:lang w:val="es-EC" w:eastAsia="zh-CN" w:bidi="hi-IN"/>
              </w:rPr>
              <w:t>, característica 19</w:t>
            </w:r>
          </w:p>
        </w:tc>
        <w:tc>
          <w:tcPr>
            <w:tcW w:w="3469"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1 = activo, 2 = inactivo</w:t>
            </w:r>
          </w:p>
        </w:tc>
      </w:tr>
      <w:tr>
        <w:trPr/>
        <w:tc>
          <w:tcPr>
            <w:tcW w:w="3104"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Contraseña</w:t>
            </w:r>
          </w:p>
        </w:tc>
        <w:tc>
          <w:tcPr>
            <w:tcW w:w="2787" w:type="dxa"/>
            <w:tcBorders/>
          </w:tcPr>
          <w:p>
            <w:pPr>
              <w:pStyle w:val="Normal"/>
              <w:widowControl/>
              <w:suppressAutoHyphens w:val="true"/>
              <w:spacing w:lineRule="auto" w:line="259" w:before="0" w:after="160"/>
              <w:jc w:val="left"/>
              <w:rPr>
                <w:sz w:val="22"/>
              </w:rPr>
            </w:pPr>
            <w:r>
              <w:rPr>
                <w:rStyle w:val="CodeChar"/>
                <w:kern w:val="0"/>
                <w:szCs w:val="22"/>
                <w:lang w:val="es-EC" w:eastAsia="zh-CN" w:bidi="hi-IN"/>
              </w:rPr>
              <w:t>SCP.PDCN</w:t>
            </w:r>
            <w:r>
              <w:rPr>
                <w:rFonts w:eastAsia="Calibri" w:cs="Calibri"/>
                <w:kern w:val="0"/>
                <w:sz w:val="22"/>
                <w:szCs w:val="22"/>
                <w:lang w:val="es-EC" w:eastAsia="zh-CN" w:bidi="hi-IN"/>
              </w:rPr>
              <w:t xml:space="preserve">, característica 30; la valida un procedimiento de la base </w:t>
            </w:r>
          </w:p>
        </w:tc>
        <w:tc>
          <w:tcPr>
            <w:tcW w:w="3469"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 xml:space="preserve">Se guarda con una </w:t>
            </w:r>
            <w:r>
              <w:rPr>
                <w:rFonts w:eastAsia="Calibri" w:cs="Calibri"/>
                <w:b/>
                <w:kern w:val="0"/>
                <w:sz w:val="22"/>
                <w:szCs w:val="22"/>
                <w:lang w:val="es-EC" w:eastAsia="zh-CN" w:bidi="hi-IN"/>
              </w:rPr>
              <w:t>codificación hash</w:t>
            </w:r>
          </w:p>
        </w:tc>
      </w:tr>
      <w:tr>
        <w:trPr/>
        <w:tc>
          <w:tcPr>
            <w:tcW w:w="3104"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Permisos</w:t>
            </w:r>
          </w:p>
        </w:tc>
        <w:tc>
          <w:tcPr>
            <w:tcW w:w="2787" w:type="dxa"/>
            <w:tcBorders/>
          </w:tcPr>
          <w:p>
            <w:pPr>
              <w:pStyle w:val="Normal"/>
              <w:widowControl/>
              <w:suppressAutoHyphens w:val="true"/>
              <w:spacing w:lineRule="auto" w:line="259" w:before="0" w:after="160"/>
              <w:jc w:val="left"/>
              <w:rPr>
                <w:sz w:val="22"/>
              </w:rPr>
            </w:pPr>
            <w:r>
              <w:rPr>
                <w:rFonts w:eastAsia="Calibri" w:cs="Calibri"/>
                <w:kern w:val="0"/>
                <w:sz w:val="22"/>
                <w:szCs w:val="22"/>
                <w:lang w:val="es-EC" w:eastAsia="zh-CN" w:bidi="hi-IN"/>
              </w:rPr>
              <w:t>Árbol de 305 permisos, uno por pantalla (códigos 1253 a 1557)</w:t>
            </w:r>
          </w:p>
        </w:tc>
        <w:tc>
          <w:tcPr>
            <w:tcW w:w="3469"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 xml:space="preserve">En producción hay </w:t>
            </w:r>
            <w:r>
              <w:rPr>
                <w:rFonts w:eastAsia="Calibri" w:cs="Calibri"/>
                <w:b/>
                <w:kern w:val="0"/>
                <w:sz w:val="22"/>
                <w:szCs w:val="22"/>
                <w:lang w:val="es-EC" w:eastAsia="zh-CN" w:bidi="hi-IN"/>
              </w:rPr>
              <w:t>0 de 305 cargados</w:t>
            </w:r>
            <w:r>
              <w:rPr>
                <w:rFonts w:eastAsia="Calibri" w:cs="Calibri"/>
                <w:kern w:val="0"/>
                <w:sz w:val="22"/>
                <w:szCs w:val="22"/>
                <w:lang w:val="es-EC" w:eastAsia="zh-CN" w:bidi="hi-IN"/>
              </w:rPr>
              <w:t xml:space="preserve"> y el parámetro de control (rubro 7) está en 0: </w:t>
            </w:r>
            <w:r>
              <w:rPr>
                <w:rFonts w:eastAsia="Calibri" w:cs="Calibri"/>
                <w:b/>
                <w:kern w:val="0"/>
                <w:sz w:val="22"/>
                <w:szCs w:val="22"/>
                <w:lang w:val="es-EC" w:eastAsia="zh-CN" w:bidi="hi-IN"/>
              </w:rPr>
              <w:t>todo usuario activo accede a todas las pantallas</w:t>
            </w:r>
          </w:p>
        </w:tc>
      </w:tr>
      <w:tr>
        <w:trPr/>
        <w:tc>
          <w:tcPr>
            <w:tcW w:w="3104"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Roles funcionales</w:t>
            </w:r>
          </w:p>
        </w:tc>
        <w:tc>
          <w:tcPr>
            <w:tcW w:w="2787" w:type="dxa"/>
            <w:tcBorders/>
          </w:tcPr>
          <w:p>
            <w:pPr>
              <w:pStyle w:val="Normal"/>
              <w:widowControl/>
              <w:suppressAutoHyphens w:val="true"/>
              <w:spacing w:lineRule="auto" w:line="259" w:before="0" w:after="160"/>
              <w:jc w:val="left"/>
              <w:rPr>
                <w:sz w:val="22"/>
              </w:rPr>
            </w:pPr>
            <w:r>
              <w:rPr>
                <w:rFonts w:eastAsia="Calibri" w:cs="Calibri"/>
                <w:kern w:val="0"/>
                <w:sz w:val="22"/>
                <w:szCs w:val="22"/>
                <w:lang w:val="es-EC" w:eastAsia="zh-CN" w:bidi="hi-IN"/>
              </w:rPr>
              <w:t>Aprobadores de pagos (</w:t>
            </w:r>
            <w:r>
              <w:rPr>
                <w:rStyle w:val="CodeChar"/>
                <w:kern w:val="0"/>
                <w:szCs w:val="22"/>
                <w:lang w:val="es-EC" w:eastAsia="zh-CN" w:bidi="hi-IN"/>
              </w:rPr>
              <w:t>PGS.UXAP</w:t>
            </w:r>
            <w:r>
              <w:rPr>
                <w:rFonts w:eastAsia="Calibri" w:cs="Calibri"/>
                <w:kern w:val="0"/>
                <w:sz w:val="22"/>
                <w:szCs w:val="22"/>
                <w:lang w:val="es-EC" w:eastAsia="zh-CN" w:bidi="hi-IN"/>
              </w:rPr>
              <w:t>) y usuarios por caja (</w:t>
            </w:r>
            <w:r>
              <w:rPr>
                <w:rStyle w:val="CodeChar"/>
                <w:kern w:val="0"/>
                <w:szCs w:val="22"/>
                <w:lang w:val="es-EC" w:eastAsia="zh-CN" w:bidi="hi-IN"/>
              </w:rPr>
              <w:t>TSR.USXC</w:t>
            </w:r>
            <w:r>
              <w:rPr>
                <w:rFonts w:eastAsia="Calibri" w:cs="Calibri"/>
                <w:kern w:val="0"/>
                <w:sz w:val="22"/>
                <w:szCs w:val="22"/>
                <w:lang w:val="es-EC" w:eastAsia="zh-CN" w:bidi="hi-IN"/>
              </w:rPr>
              <w:t>)</w:t>
            </w:r>
          </w:p>
        </w:tc>
        <w:tc>
          <w:tcPr>
            <w:tcW w:w="3469"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 xml:space="preserve">Aprobador de pagos de CxP: el nodo raíz de usuarios, no una persona. </w:t>
            </w:r>
          </w:p>
        </w:tc>
      </w:tr>
      <w:tr>
        <w:trPr/>
        <w:tc>
          <w:tcPr>
            <w:tcW w:w="3104"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Administración de usuarios</w:t>
            </w:r>
          </w:p>
        </w:tc>
        <w:tc>
          <w:tcPr>
            <w:tcW w:w="2787"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Herramienta heredada «Seguridad y auditoría», fuera del SAA</w:t>
            </w:r>
          </w:p>
        </w:tc>
        <w:tc>
          <w:tcPr>
            <w:tcW w:w="3469"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El SAA no crea usuarios ni asigna permisos desde sus pantallas</w:t>
            </w:r>
          </w:p>
        </w:tc>
      </w:tr>
    </w:tbl>
    <w:p>
      <w:pPr>
        <w:pStyle w:val="Normal"/>
        <w:rPr>
          <w:b/>
          <w:lang w:val="es-EC" w:eastAsia="zh-CN" w:bidi="hi-IN"/>
        </w:rPr>
      </w:pPr>
      <w:r>
        <w:rPr>
          <w:b/>
          <w:lang w:val="es-EC" w:eastAsia="zh-CN" w:bidi="hi-IN"/>
        </w:rPr>
      </w:r>
    </w:p>
    <w:p>
      <w:pPr>
        <w:pStyle w:val="Normal"/>
        <w:rPr>
          <w:lang w:val="es-EC" w:eastAsia="zh-CN" w:bidi="hi-IN"/>
        </w:rPr>
      </w:pPr>
      <w:r>
        <w:rPr>
          <w:b/>
          <w:lang w:val="es-EC" w:eastAsia="zh-CN" w:bidi="hi-IN"/>
        </w:rPr>
        <w:t>Usuarios de la aplicación en producción</w:t>
      </w:r>
      <w:r>
        <w:rPr>
          <w:lang w:val="es-EC" w:eastAsia="zh-CN" w:bidi="hi-IN"/>
        </w:rPr>
        <w:t xml:space="preserve"> (21 cuentas: 19 activas y 2 inactivas).</w:t>
      </w:r>
    </w:p>
    <w:tbl>
      <w:tblPr>
        <w:tblStyle w:val="TableGrid"/>
        <w:tblW w:w="9360" w:type="dxa"/>
        <w:jc w:val="left"/>
        <w:tblInd w:w="0" w:type="dxa"/>
        <w:tblLayout w:type="fixed"/>
        <w:tblCellMar>
          <w:top w:w="0" w:type="dxa"/>
          <w:left w:w="108" w:type="dxa"/>
          <w:bottom w:w="0" w:type="dxa"/>
          <w:right w:w="108" w:type="dxa"/>
        </w:tblCellMar>
        <w:tblLook w:val="0420" w:firstRow="1" w:noVBand="1" w:lastRow="0" w:firstColumn="0" w:lastColumn="0" w:noHBand="0"/>
      </w:tblPr>
      <w:tblGrid>
        <w:gridCol w:w="1729"/>
        <w:gridCol w:w="3785"/>
        <w:gridCol w:w="2778"/>
        <w:gridCol w:w="1068"/>
      </w:tblGrid>
      <w:tr>
        <w:trPr>
          <w:tblHeader w:val="true"/>
        </w:trPr>
        <w:tc>
          <w:tcPr>
            <w:tcW w:w="1729" w:type="dxa"/>
            <w:tcBorders/>
            <w:shd w:color="auto" w:fill="F2F2F2" w:val="clear"/>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Usuario</w:t>
            </w:r>
          </w:p>
        </w:tc>
        <w:tc>
          <w:tcPr>
            <w:tcW w:w="3785" w:type="dxa"/>
            <w:tcBorders/>
            <w:shd w:color="auto" w:fill="F2F2F2" w:val="clear"/>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Nombres y apellidos</w:t>
            </w:r>
          </w:p>
        </w:tc>
        <w:tc>
          <w:tcPr>
            <w:tcW w:w="2778" w:type="dxa"/>
            <w:tcBorders/>
            <w:shd w:color="auto" w:fill="F2F2F2" w:val="clear"/>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Área funcional</w:t>
            </w:r>
          </w:p>
        </w:tc>
        <w:tc>
          <w:tcPr>
            <w:tcW w:w="1068" w:type="dxa"/>
            <w:tcBorders/>
            <w:shd w:color="auto" w:fill="F2F2F2" w:val="clear"/>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Estado</w:t>
            </w:r>
          </w:p>
        </w:tc>
      </w:tr>
      <w:tr>
        <w:trPr/>
        <w:tc>
          <w:tcPr>
            <w:tcW w:w="1729"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ADMIN</w:t>
            </w:r>
          </w:p>
        </w:tc>
        <w:tc>
          <w:tcPr>
            <w:tcW w:w="3785"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Cuenta genérica de administración</w:t>
            </w:r>
          </w:p>
        </w:tc>
        <w:tc>
          <w:tcPr>
            <w:tcW w:w="2778"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[Completar responsable]</w:t>
            </w:r>
          </w:p>
        </w:tc>
        <w:tc>
          <w:tcPr>
            <w:tcW w:w="1068"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Activo</w:t>
            </w:r>
          </w:p>
        </w:tc>
      </w:tr>
      <w:tr>
        <w:trPr/>
        <w:tc>
          <w:tcPr>
            <w:tcW w:w="1729"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ALALANGUI</w:t>
            </w:r>
          </w:p>
        </w:tc>
        <w:tc>
          <w:tcPr>
            <w:tcW w:w="3785"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[Completar]</w:t>
            </w:r>
          </w:p>
        </w:tc>
        <w:tc>
          <w:tcPr>
            <w:tcW w:w="2778"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[Completar]</w:t>
            </w:r>
          </w:p>
        </w:tc>
        <w:tc>
          <w:tcPr>
            <w:tcW w:w="1068"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Activo</w:t>
            </w:r>
          </w:p>
        </w:tc>
      </w:tr>
      <w:tr>
        <w:trPr/>
        <w:tc>
          <w:tcPr>
            <w:tcW w:w="1729"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DPAZMINO</w:t>
            </w:r>
          </w:p>
        </w:tc>
        <w:tc>
          <w:tcPr>
            <w:tcW w:w="3785"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[Completar]</w:t>
            </w:r>
          </w:p>
        </w:tc>
        <w:tc>
          <w:tcPr>
            <w:tcW w:w="2778"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[Completar]</w:t>
            </w:r>
          </w:p>
        </w:tc>
        <w:tc>
          <w:tcPr>
            <w:tcW w:w="1068"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Activo</w:t>
            </w:r>
          </w:p>
        </w:tc>
      </w:tr>
      <w:tr>
        <w:trPr/>
        <w:tc>
          <w:tcPr>
            <w:tcW w:w="1729"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ECEVALLOS</w:t>
            </w:r>
          </w:p>
        </w:tc>
        <w:tc>
          <w:tcPr>
            <w:tcW w:w="3785"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[Completar]</w:t>
            </w:r>
          </w:p>
        </w:tc>
        <w:tc>
          <w:tcPr>
            <w:tcW w:w="2778"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[Completar]</w:t>
            </w:r>
          </w:p>
        </w:tc>
        <w:tc>
          <w:tcPr>
            <w:tcW w:w="1068"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Activo</w:t>
            </w:r>
          </w:p>
        </w:tc>
      </w:tr>
      <w:tr>
        <w:trPr/>
        <w:tc>
          <w:tcPr>
            <w:tcW w:w="1729"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ECOSSIO</w:t>
            </w:r>
          </w:p>
        </w:tc>
        <w:tc>
          <w:tcPr>
            <w:tcW w:w="3785"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[Completar]</w:t>
            </w:r>
          </w:p>
        </w:tc>
        <w:tc>
          <w:tcPr>
            <w:tcW w:w="2778"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[Completar]</w:t>
            </w:r>
          </w:p>
        </w:tc>
        <w:tc>
          <w:tcPr>
            <w:tcW w:w="1068"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Activo</w:t>
            </w:r>
          </w:p>
        </w:tc>
      </w:tr>
      <w:tr>
        <w:trPr/>
        <w:tc>
          <w:tcPr>
            <w:tcW w:w="1729"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GROBAYO</w:t>
            </w:r>
          </w:p>
        </w:tc>
        <w:tc>
          <w:tcPr>
            <w:tcW w:w="3785"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[Completar]</w:t>
            </w:r>
          </w:p>
        </w:tc>
        <w:tc>
          <w:tcPr>
            <w:tcW w:w="2778"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[Completar]</w:t>
            </w:r>
          </w:p>
        </w:tc>
        <w:tc>
          <w:tcPr>
            <w:tcW w:w="1068"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Activo</w:t>
            </w:r>
          </w:p>
        </w:tc>
      </w:tr>
      <w:tr>
        <w:trPr/>
        <w:tc>
          <w:tcPr>
            <w:tcW w:w="1729"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JAGILA</w:t>
            </w:r>
          </w:p>
        </w:tc>
        <w:tc>
          <w:tcPr>
            <w:tcW w:w="3785"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[Completar]</w:t>
            </w:r>
          </w:p>
        </w:tc>
        <w:tc>
          <w:tcPr>
            <w:tcW w:w="2778"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[Completar]</w:t>
            </w:r>
          </w:p>
        </w:tc>
        <w:tc>
          <w:tcPr>
            <w:tcW w:w="1068"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Inactivo</w:t>
            </w:r>
          </w:p>
        </w:tc>
      </w:tr>
      <w:tr>
        <w:trPr/>
        <w:tc>
          <w:tcPr>
            <w:tcW w:w="1729"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JCEVALLOS</w:t>
            </w:r>
          </w:p>
        </w:tc>
        <w:tc>
          <w:tcPr>
            <w:tcW w:w="3785"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[Completar]</w:t>
            </w:r>
          </w:p>
        </w:tc>
        <w:tc>
          <w:tcPr>
            <w:tcW w:w="2778"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[Completar]</w:t>
            </w:r>
          </w:p>
        </w:tc>
        <w:tc>
          <w:tcPr>
            <w:tcW w:w="1068"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Activo</w:t>
            </w:r>
          </w:p>
        </w:tc>
      </w:tr>
      <w:tr>
        <w:trPr/>
        <w:tc>
          <w:tcPr>
            <w:tcW w:w="1729"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JVITERI</w:t>
            </w:r>
          </w:p>
        </w:tc>
        <w:tc>
          <w:tcPr>
            <w:tcW w:w="3785"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[Completar]</w:t>
            </w:r>
          </w:p>
        </w:tc>
        <w:tc>
          <w:tcPr>
            <w:tcW w:w="2778"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[Completar]</w:t>
            </w:r>
          </w:p>
        </w:tc>
        <w:tc>
          <w:tcPr>
            <w:tcW w:w="1068"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Activo</w:t>
            </w:r>
          </w:p>
        </w:tc>
      </w:tr>
      <w:tr>
        <w:trPr/>
        <w:tc>
          <w:tcPr>
            <w:tcW w:w="1729"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KPARDO</w:t>
            </w:r>
          </w:p>
        </w:tc>
        <w:tc>
          <w:tcPr>
            <w:tcW w:w="3785"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[Completar]</w:t>
            </w:r>
          </w:p>
        </w:tc>
        <w:tc>
          <w:tcPr>
            <w:tcW w:w="2778"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[Completar]</w:t>
            </w:r>
          </w:p>
        </w:tc>
        <w:tc>
          <w:tcPr>
            <w:tcW w:w="1068"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Activo</w:t>
            </w:r>
          </w:p>
        </w:tc>
      </w:tr>
      <w:tr>
        <w:trPr/>
        <w:tc>
          <w:tcPr>
            <w:tcW w:w="1729"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LCALDERON</w:t>
            </w:r>
          </w:p>
        </w:tc>
        <w:tc>
          <w:tcPr>
            <w:tcW w:w="3785"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[Completar]</w:t>
            </w:r>
          </w:p>
        </w:tc>
        <w:tc>
          <w:tcPr>
            <w:tcW w:w="2778"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[Completar]</w:t>
            </w:r>
          </w:p>
        </w:tc>
        <w:tc>
          <w:tcPr>
            <w:tcW w:w="1068"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Activo</w:t>
            </w:r>
          </w:p>
        </w:tc>
      </w:tr>
      <w:tr>
        <w:trPr/>
        <w:tc>
          <w:tcPr>
            <w:tcW w:w="1729"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LCASTRO</w:t>
            </w:r>
          </w:p>
        </w:tc>
        <w:tc>
          <w:tcPr>
            <w:tcW w:w="3785"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[Completar]</w:t>
            </w:r>
          </w:p>
        </w:tc>
        <w:tc>
          <w:tcPr>
            <w:tcW w:w="2778"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[Completar]</w:t>
            </w:r>
          </w:p>
        </w:tc>
        <w:tc>
          <w:tcPr>
            <w:tcW w:w="1068"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Inactivo</w:t>
            </w:r>
          </w:p>
        </w:tc>
      </w:tr>
      <w:tr>
        <w:trPr/>
        <w:tc>
          <w:tcPr>
            <w:tcW w:w="1729"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LRAMIREZ</w:t>
            </w:r>
          </w:p>
        </w:tc>
        <w:tc>
          <w:tcPr>
            <w:tcW w:w="3785"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[Completar]</w:t>
            </w:r>
          </w:p>
        </w:tc>
        <w:tc>
          <w:tcPr>
            <w:tcW w:w="2778"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[Completar]</w:t>
            </w:r>
          </w:p>
        </w:tc>
        <w:tc>
          <w:tcPr>
            <w:tcW w:w="1068"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Activo</w:t>
            </w:r>
          </w:p>
        </w:tc>
      </w:tr>
      <w:tr>
        <w:trPr/>
        <w:tc>
          <w:tcPr>
            <w:tcW w:w="1729"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NRODRIGUEZ</w:t>
            </w:r>
          </w:p>
        </w:tc>
        <w:tc>
          <w:tcPr>
            <w:tcW w:w="3785"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[Completar]</w:t>
            </w:r>
          </w:p>
        </w:tc>
        <w:tc>
          <w:tcPr>
            <w:tcW w:w="2778"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[Completar]</w:t>
            </w:r>
          </w:p>
        </w:tc>
        <w:tc>
          <w:tcPr>
            <w:tcW w:w="1068"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Activo</w:t>
            </w:r>
          </w:p>
        </w:tc>
      </w:tr>
      <w:tr>
        <w:trPr/>
        <w:tc>
          <w:tcPr>
            <w:tcW w:w="1729"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PAUL</w:t>
            </w:r>
          </w:p>
        </w:tc>
        <w:tc>
          <w:tcPr>
            <w:tcW w:w="3785"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[Completar]</w:t>
            </w:r>
          </w:p>
        </w:tc>
        <w:tc>
          <w:tcPr>
            <w:tcW w:w="2778"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[Completar]</w:t>
            </w:r>
          </w:p>
        </w:tc>
        <w:tc>
          <w:tcPr>
            <w:tcW w:w="1068"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Activo</w:t>
            </w:r>
          </w:p>
        </w:tc>
      </w:tr>
      <w:tr>
        <w:trPr/>
        <w:tc>
          <w:tcPr>
            <w:tcW w:w="1729"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RBARCENAS</w:t>
            </w:r>
          </w:p>
        </w:tc>
        <w:tc>
          <w:tcPr>
            <w:tcW w:w="3785"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[Completar]</w:t>
            </w:r>
          </w:p>
        </w:tc>
        <w:tc>
          <w:tcPr>
            <w:tcW w:w="2778"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[Completar]</w:t>
            </w:r>
          </w:p>
        </w:tc>
        <w:tc>
          <w:tcPr>
            <w:tcW w:w="1068"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Activo</w:t>
            </w:r>
          </w:p>
        </w:tc>
      </w:tr>
      <w:tr>
        <w:trPr/>
        <w:tc>
          <w:tcPr>
            <w:tcW w:w="1729"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SAVILA</w:t>
            </w:r>
          </w:p>
        </w:tc>
        <w:tc>
          <w:tcPr>
            <w:tcW w:w="3785"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[Completar]</w:t>
            </w:r>
          </w:p>
        </w:tc>
        <w:tc>
          <w:tcPr>
            <w:tcW w:w="2778"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[Completar]</w:t>
            </w:r>
          </w:p>
        </w:tc>
        <w:tc>
          <w:tcPr>
            <w:tcW w:w="1068"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Activo</w:t>
            </w:r>
          </w:p>
        </w:tc>
      </w:tr>
      <w:tr>
        <w:trPr/>
        <w:tc>
          <w:tcPr>
            <w:tcW w:w="1729"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TEST</w:t>
            </w:r>
          </w:p>
        </w:tc>
        <w:tc>
          <w:tcPr>
            <w:tcW w:w="3785"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Cuenta genérica de pruebas</w:t>
            </w:r>
          </w:p>
        </w:tc>
        <w:tc>
          <w:tcPr>
            <w:tcW w:w="2778"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[Completar responsable]</w:t>
            </w:r>
          </w:p>
        </w:tc>
        <w:tc>
          <w:tcPr>
            <w:tcW w:w="1068"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Activo</w:t>
            </w:r>
          </w:p>
        </w:tc>
      </w:tr>
      <w:tr>
        <w:trPr/>
        <w:tc>
          <w:tcPr>
            <w:tcW w:w="1729"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TZAMBRANO</w:t>
            </w:r>
          </w:p>
        </w:tc>
        <w:tc>
          <w:tcPr>
            <w:tcW w:w="3785"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[Completar]</w:t>
            </w:r>
          </w:p>
        </w:tc>
        <w:tc>
          <w:tcPr>
            <w:tcW w:w="2778"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[Completar]</w:t>
            </w:r>
          </w:p>
        </w:tc>
        <w:tc>
          <w:tcPr>
            <w:tcW w:w="1068"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Activo</w:t>
            </w:r>
          </w:p>
        </w:tc>
      </w:tr>
      <w:tr>
        <w:trPr/>
        <w:tc>
          <w:tcPr>
            <w:tcW w:w="1729"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WBRAVO</w:t>
            </w:r>
          </w:p>
        </w:tc>
        <w:tc>
          <w:tcPr>
            <w:tcW w:w="3785"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[Completar]</w:t>
            </w:r>
          </w:p>
        </w:tc>
        <w:tc>
          <w:tcPr>
            <w:tcW w:w="2778"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[Completar]</w:t>
            </w:r>
          </w:p>
        </w:tc>
        <w:tc>
          <w:tcPr>
            <w:tcW w:w="1068" w:type="dxa"/>
            <w:tcBorders/>
          </w:tcPr>
          <w:p>
            <w:pPr>
              <w:pStyle w:val="Normal"/>
              <w:widowControl/>
              <w:suppressAutoHyphens w:val="true"/>
              <w:spacing w:lineRule="auto" w:line="259" w:before="0" w:after="160"/>
              <w:jc w:val="left"/>
              <w:rPr>
                <w:sz w:val="22"/>
                <w:lang w:val="es-EC" w:eastAsia="zh-CN" w:bidi="hi-IN"/>
              </w:rPr>
            </w:pPr>
            <w:r>
              <w:rPr>
                <w:rFonts w:eastAsia="Calibri" w:cs="Calibri"/>
                <w:kern w:val="0"/>
                <w:sz w:val="22"/>
                <w:szCs w:val="22"/>
                <w:lang w:val="es-EC" w:eastAsia="zh-CN" w:bidi="hi-IN"/>
              </w:rPr>
              <w:t>Activo</w:t>
            </w:r>
          </w:p>
        </w:tc>
      </w:tr>
    </w:tbl>
    <w:p>
      <w:pPr>
        <w:pStyle w:val="Normal"/>
        <w:rPr>
          <w:lang w:val="es-EC" w:eastAsia="zh-CN" w:bidi="hi-IN"/>
        </w:rPr>
      </w:pPr>
      <w:r>
        <w:rPr>
          <w:lang w:val="es-EC" w:eastAsia="zh-CN" w:bidi="hi-IN"/>
        </w:rPr>
        <w:t xml:space="preserve">Rol, perfil y permisos: mientras el control esté desactivado, </w:t>
      </w:r>
      <w:r>
        <w:rPr>
          <w:b/>
          <w:lang w:val="es-EC" w:eastAsia="zh-CN" w:bidi="hi-IN"/>
        </w:rPr>
        <w:t>todas las cuentas activas tienen acceso a todos los módulos y pantallas</w:t>
      </w:r>
      <w:r>
        <w:rPr>
          <w:lang w:val="es-EC" w:eastAsia="zh-CN" w:bidi="hi-IN"/>
        </w:rPr>
        <w:t>.</w:t>
      </w:r>
    </w:p>
    <w:p>
      <w:pPr>
        <w:pStyle w:val="Heading3"/>
        <w:rPr>
          <w:lang w:val="es-EC" w:eastAsia="zh-CN" w:bidi="hi-IN"/>
        </w:rPr>
      </w:pPr>
      <w:r>
        <w:rPr>
          <w:lang w:val="es-EC" w:eastAsia="zh-CN" w:bidi="hi-IN"/>
        </w:rPr>
        <w:t>10.4. Aplicación móvil</w:t>
      </w:r>
    </w:p>
    <w:p>
      <w:pPr>
        <w:pStyle w:val="Normal"/>
        <w:rPr/>
      </w:pPr>
      <w:r>
        <w:rPr>
          <w:lang w:val="es-EC" w:eastAsia="zh-CN" w:bidi="hi-IN"/>
        </w:rPr>
        <w:t xml:space="preserve">Los usuarios de la app son los partícipes, en </w:t>
      </w:r>
      <w:r>
        <w:rPr>
          <w:rStyle w:val="CodeChar"/>
          <w:lang w:val="es-EC" w:eastAsia="zh-CN" w:bidi="hi-IN"/>
        </w:rPr>
        <w:t>CRD.USAP</w:t>
      </w:r>
      <w:r>
        <w:rPr>
          <w:lang w:val="es-EC" w:eastAsia="zh-CN" w:bidi="hi-IN"/>
        </w:rPr>
        <w:t xml:space="preserve">, enlazados a su ficha en </w:t>
      </w:r>
      <w:r>
        <w:rPr>
          <w:rStyle w:val="CodeChar"/>
          <w:lang w:val="es-EC" w:eastAsia="zh-CN" w:bidi="hi-IN"/>
        </w:rPr>
        <w:t>CRD.ENTD</w:t>
      </w:r>
      <w:r>
        <w:rPr>
          <w:lang w:val="es-EC" w:eastAsia="zh-CN" w:bidi="hi-IN"/>
        </w:rPr>
        <w:t>. El inicio de sesión es con la cédula. La clave se guarda con hash PBKDF2-HMAC-SHA256 (100.000 iteraciones y sal). Tras 5 intentos fallidos la cuenta se bloquea 15 minutos, y la clave exige al menos 8 caracteres con letras y números. Las cuentas las crea, resetea y reactiva el personal de Créditos desde la pantalla de acceso a la app.</w:t>
      </w:r>
    </w:p>
    <w:p>
      <w:pPr>
        <w:pStyle w:val="Normal"/>
        <w:widowControl/>
        <w:bidi w:val="0"/>
        <w:spacing w:lineRule="auto" w:line="259" w:before="0" w:after="160"/>
        <w:jc w:val="left"/>
        <w:rPr>
          <w:lang w:val="es-EC" w:eastAsia="zh-CN" w:bidi="hi-IN"/>
        </w:rPr>
      </w:pPr>
      <w:r>
        <w:rPr>
          <w:lang w:val="es-EC" w:eastAsia="zh-CN" w:bidi="hi-IN"/>
        </w:rPr>
        <w:t xml:space="preserve">Al 25 de octubre de 2026 hay </w:t>
      </w:r>
      <w:r>
        <w:rPr>
          <w:b/>
          <w:lang w:val="es-EC" w:eastAsia="zh-CN" w:bidi="hi-IN"/>
        </w:rPr>
        <w:t>6 cuentas activas</w:t>
      </w:r>
      <w:r>
        <w:rPr>
          <w:lang w:val="es-EC" w:eastAsia="zh-CN" w:bidi="hi-IN"/>
        </w:rPr>
        <w:t xml:space="preserve"> en producción, en la etapa previa a la publicación.</w:t>
      </w:r>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Consolas">
    <w:charset w:val="00"/>
    <w:family w:val="roman"/>
    <w:pitch w:val="variable"/>
  </w:font>
  <w:font w:name="Liberation Sans">
    <w:altName w:val="Arial"/>
    <w:charset w:val="00"/>
    <w:family w:val="swiss"/>
    <w:pitch w:val="variable"/>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left"/>
      <w:pPr>
        <w:tabs>
          <w:tab w:val="num" w:pos="0"/>
        </w:tabs>
        <w:ind w:left="6480" w:hanging="360"/>
      </w:pPr>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3">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left"/>
      <w:pPr>
        <w:tabs>
          <w:tab w:val="num" w:pos="0"/>
        </w:tabs>
        <w:ind w:left="6480" w:hanging="360"/>
      </w:pPr>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3"/>
    <w:lvlOverride w:ilvl="0">
      <w:startOverride w:val="1"/>
    </w:lvlOverride>
  </w:num>
</w:numbering>
</file>

<file path=word/settings.xml><?xml version="1.0" encoding="utf-8"?>
<w:settings xmlns:w="http://schemas.openxmlformats.org/wordprocessingml/2006/main">
  <w:zoom w:percent="90"/>
  <w:defaultTabStop w:val="709"/>
  <w:autoHyphenation w:val="true"/>
  <w:hyphenationZone w:val="0"/>
  <w:compat>
    <w:adjustLineHeightInTable/>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default="1">
    <w:name w:val="Normal"/>
    <w:qFormat/>
    <w:pPr>
      <w:widowControl/>
      <w:suppressAutoHyphens w:val="true"/>
      <w:bidi w:val="0"/>
      <w:spacing w:lineRule="auto" w:line="259" w:before="0" w:after="160"/>
      <w:jc w:val="left"/>
    </w:pPr>
    <w:rPr>
      <w:rFonts w:ascii="Calibri" w:hAnsi="Calibri" w:eastAsia="Calibri" w:cs="Calibri"/>
      <w:color w:val="auto"/>
      <w:kern w:val="0"/>
      <w:sz w:val="22"/>
      <w:szCs w:val="22"/>
      <w:lang w:val="en-US" w:eastAsia="zh-CN" w:bidi="hi-IN"/>
    </w:rPr>
  </w:style>
  <w:style w:type="paragraph" w:styleId="Heading1">
    <w:name w:val="heading 1"/>
    <w:basedOn w:val="Normal"/>
    <w:next w:val="Normal"/>
    <w:qFormat/>
    <w:pPr>
      <w:keepNext w:val="true"/>
      <w:spacing w:before="360" w:after="120"/>
      <w:outlineLvl w:val="0"/>
    </w:pPr>
    <w:rPr>
      <w:b/>
      <w:sz w:val="32"/>
    </w:rPr>
  </w:style>
  <w:style w:type="paragraph" w:styleId="Heading2">
    <w:name w:val="heading 2"/>
    <w:basedOn w:val="Normal"/>
    <w:next w:val="Normal"/>
    <w:qFormat/>
    <w:pPr>
      <w:keepNext w:val="true"/>
      <w:spacing w:before="280" w:after="100"/>
      <w:outlineLvl w:val="1"/>
    </w:pPr>
    <w:rPr>
      <w:b/>
      <w:sz w:val="26"/>
    </w:rPr>
  </w:style>
  <w:style w:type="paragraph" w:styleId="Heading3">
    <w:name w:val="heading 3"/>
    <w:basedOn w:val="Normal"/>
    <w:next w:val="Normal"/>
    <w:qFormat/>
    <w:pPr>
      <w:keepNext w:val="true"/>
      <w:spacing w:before="240" w:after="80"/>
      <w:outlineLvl w:val="2"/>
    </w:pPr>
    <w:rPr>
      <w:b/>
      <w:sz w:val="24"/>
    </w:rPr>
  </w:style>
  <w:style w:type="paragraph" w:styleId="Heading4">
    <w:name w:val="heading 4"/>
    <w:basedOn w:val="Normal"/>
    <w:next w:val="Normal"/>
    <w:qFormat/>
    <w:pPr>
      <w:keepNext w:val="true"/>
      <w:outlineLvl w:val="3"/>
    </w:pPr>
    <w:rPr>
      <w:b/>
      <w:sz w:val="22"/>
    </w:rPr>
  </w:style>
  <w:style w:type="paragraph" w:styleId="Heading5">
    <w:name w:val="heading 5"/>
    <w:basedOn w:val="Normal"/>
    <w:next w:val="Normal"/>
    <w:qFormat/>
    <w:pPr>
      <w:keepNext w:val="true"/>
      <w:outlineLvl w:val="4"/>
    </w:pPr>
    <w:rPr>
      <w:b/>
      <w:sz w:val="22"/>
    </w:rPr>
  </w:style>
  <w:style w:type="paragraph" w:styleId="Heading6">
    <w:name w:val="heading 6"/>
    <w:basedOn w:val="Normal"/>
    <w:next w:val="Normal"/>
    <w:qFormat/>
    <w:pPr>
      <w:keepNext w:val="true"/>
      <w:outlineLvl w:val="5"/>
    </w:pPr>
    <w:rPr>
      <w:i/>
      <w:sz w:val="22"/>
    </w:rPr>
  </w:style>
  <w:style w:type="character" w:styleId="CodeChar">
    <w:name w:val="Code Char"/>
    <w:link w:val="Code"/>
    <w:qFormat/>
    <w:rPr>
      <w:rFonts w:ascii="Consolas" w:hAnsi="Consolas" w:eastAsia="Consolas" w:cs="Consolas"/>
      <w:sz w:val="20"/>
      <w:shd w:fill="F5F5F5" w:val="clear"/>
    </w:rPr>
  </w:style>
  <w:style w:type="character" w:styleId="Hyperlink">
    <w:name w:val="Hyperlink"/>
    <w:rPr>
      <w:color w:val="0563C1"/>
      <w:u w:val="single"/>
    </w:rPr>
  </w:style>
  <w:style w:type="character" w:styleId="CommentReference">
    <w:name w:val="annotation reference"/>
    <w:qFormat/>
    <w:rPr>
      <w:sz w:val="16"/>
      <w:szCs w:val="16"/>
    </w:rPr>
  </w:style>
  <w:style w:type="paragraph" w:styleId="Ttulo">
    <w:name w:val="Título"/>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ndice">
    <w:name w:val="Índice"/>
    <w:basedOn w:val="Normal"/>
    <w:qFormat/>
    <w:pPr>
      <w:suppressLineNumbers/>
    </w:pPr>
    <w:rPr>
      <w:rFonts w:cs="Lucida Sans"/>
    </w:rPr>
  </w:style>
  <w:style w:type="paragraph" w:styleId="Ttulouser">
    <w:name w:val="Título (user)"/>
    <w:basedOn w:val="Normal"/>
    <w:next w:val="BodyText"/>
    <w:qFormat/>
    <w:pPr>
      <w:keepNext w:val="true"/>
      <w:spacing w:before="240" w:after="120"/>
    </w:pPr>
    <w:rPr>
      <w:rFonts w:ascii="Liberation Sans" w:hAnsi="Liberation Sans" w:eastAsia="Microsoft YaHei" w:cs="Lucida Sans"/>
      <w:sz w:val="28"/>
      <w:szCs w:val="28"/>
    </w:rPr>
  </w:style>
  <w:style w:type="paragraph" w:styleId="ndiceuser">
    <w:name w:val="Índice (user)"/>
    <w:basedOn w:val="Normal"/>
    <w:qFormat/>
    <w:pPr>
      <w:suppressLineNumbers/>
    </w:pPr>
    <w:rPr>
      <w:rFonts w:cs="Lucida Sans"/>
    </w:rPr>
  </w:style>
  <w:style w:type="paragraph" w:styleId="Title">
    <w:name w:val="Title"/>
    <w:basedOn w:val="Normal"/>
    <w:next w:val="Normal"/>
    <w:qFormat/>
    <w:pPr>
      <w:spacing w:before="0" w:after="80"/>
      <w:contextualSpacing/>
    </w:pPr>
    <w:rPr>
      <w:sz w:val="56"/>
    </w:rPr>
  </w:style>
  <w:style w:type="paragraph" w:styleId="Quote">
    <w:name w:val="Quote"/>
    <w:basedOn w:val="Normal"/>
    <w:qFormat/>
    <w:pPr>
      <w:pBdr>
        <w:left w:val="single" w:sz="12" w:space="8" w:color="A0A0A0"/>
      </w:pBdr>
      <w:ind w:left="720" w:right="720"/>
    </w:pPr>
    <w:rPr>
      <w:i/>
      <w:color w:val="404040"/>
    </w:rPr>
  </w:style>
  <w:style w:type="paragraph" w:styleId="Code">
    <w:name w:val="Code"/>
    <w:basedOn w:val="Normal"/>
    <w:link w:val="CodeChar"/>
    <w:qFormat/>
    <w:pPr>
      <w:shd w:val="clear" w:color="auto" w:fill="F5F5F5"/>
      <w:spacing w:lineRule="auto" w:line="240" w:before="0" w:after="0"/>
      <w:contextualSpacing/>
    </w:pPr>
    <w:rPr>
      <w:rFonts w:ascii="Consolas" w:hAnsi="Consolas" w:eastAsia="Consolas" w:cs="Consolas"/>
      <w:sz w:val="20"/>
    </w:rPr>
  </w:style>
  <w:style w:type="paragraph" w:styleId="ListParagraph">
    <w:name w:val="List Paragraph"/>
    <w:basedOn w:val="Normal"/>
    <w:qFormat/>
    <w:pPr>
      <w:spacing w:before="0" w:after="160"/>
      <w:ind w:left="720"/>
      <w:contextualSpacing/>
    </w:pPr>
    <w:rPr/>
  </w:style>
  <w:style w:type="paragraph" w:styleId="CommentText">
    <w:name w:val="annotation text"/>
    <w:basedOn w:val="Normal"/>
    <w:pPr>
      <w:spacing w:lineRule="auto" w:line="240"/>
    </w:pPr>
    <w:rPr>
      <w:sz w:val="20"/>
      <w:szCs w:val="20"/>
    </w:rPr>
  </w:style>
  <w:style w:type="table" w:default="1" w:styleId="TableNormal">
    <w:name w:val="Normal Table"/>
    <w:tblPr>
      <w:tblCellMar>
        <w:top w:w="0" w:type="dxa"/>
        <w:left w:w="108" w:type="dxa"/>
        <w:bottom w:w="0" w:type="dxa"/>
        <w:right w:w="108" w:type="dxa"/>
      </w:tblCellMar>
    </w:tblPr>
  </w:style>
  <w:style w:type="table" w:styleId="TableGrid">
    <w:name w:val="Table Grid"/>
    <w:basedOn w:val="TableNormal"/>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 Id="rId20" Type="http://schemas.openxmlformats.org/officeDocument/2006/relationships/image" Target="media/image4.png"/></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TotalTime>
  <Application>LibreOffice/26.2.6.3$Windows_X86_64 LibreOffice_project/8221e31b3ac356a1623c672912a3d2b492f7e3d1</Application>
  <AppVersion>15.0000</AppVersion>
  <Pages>18</Pages>
  <Words>3520</Words>
  <Characters>19494</Characters>
  <CharactersWithSpaces>22286</CharactersWithSpaces>
  <Paragraphs>701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Claude Docs node/a080dd0b-ee0c@50 docx-w7</dc:description>
  <dc:language>es-EC</dc:language>
  <cp:lastModifiedBy/>
  <dcterms:modified xsi:type="dcterms:W3CDTF">2026-10-26T08:40:16Z</dcterms:modified>
  <cp:revision>53</cp:revision>
  <dc:subject/>
  <dc:title>Documentación técnica del sistema SAA — Requerimiento de auditoría</dc:title>
</cp:coreProperties>
</file>

<file path=docProps/custom.xml><?xml version="1.0" encoding="utf-8"?>
<Properties xmlns="http://schemas.openxmlformats.org/officeDocument/2006/custom-properties" xmlns:vt="http://schemas.openxmlformats.org/officeDocument/2006/docPropsVTypes"/>
</file>