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3B7B" w14:textId="77777777" w:rsidR="008D269C" w:rsidRDefault="008D269C">
      <w:pPr>
        <w:pStyle w:val="Ttulo1"/>
        <w:rPr>
          <w:rFonts w:eastAsia="Times New Roman"/>
        </w:rPr>
      </w:pPr>
      <w:r>
        <w:rPr>
          <w:rFonts w:eastAsia="Times New Roman"/>
        </w:rPr>
        <w:t>Informe de Validación Técnica</w:t>
      </w:r>
    </w:p>
    <w:tbl>
      <w:tblPr>
        <w:tblW w:w="5000" w:type="pct"/>
        <w:tblCellMar>
          <w:top w:w="15" w:type="dxa"/>
          <w:left w:w="15" w:type="dxa"/>
          <w:bottom w:w="15" w:type="dxa"/>
          <w:right w:w="15" w:type="dxa"/>
        </w:tblCellMar>
        <w:tblLook w:val="04A0" w:firstRow="1" w:lastRow="0" w:firstColumn="1" w:lastColumn="0" w:noHBand="0" w:noVBand="1"/>
      </w:tblPr>
      <w:tblGrid>
        <w:gridCol w:w="1560"/>
        <w:gridCol w:w="7186"/>
      </w:tblGrid>
      <w:tr w:rsidR="00000000" w14:paraId="27F8691A" w14:textId="77777777">
        <w:tc>
          <w:tcPr>
            <w:tcW w:w="1560" w:type="dxa"/>
            <w:tcMar>
              <w:top w:w="50" w:type="dxa"/>
              <w:left w:w="0" w:type="dxa"/>
              <w:bottom w:w="50" w:type="dxa"/>
              <w:right w:w="0" w:type="dxa"/>
            </w:tcMar>
            <w:hideMark/>
          </w:tcPr>
          <w:p w14:paraId="2415D44C" w14:textId="77777777" w:rsidR="008D269C" w:rsidRDefault="008D269C">
            <w:pPr>
              <w:spacing w:after="280"/>
              <w:jc w:val="both"/>
              <w:rPr>
                <w:rFonts w:ascii="Calibri" w:eastAsia="Times New Roman" w:hAnsi="Calibri" w:cs="Calibri"/>
                <w:b/>
                <w:bCs/>
                <w:sz w:val="22"/>
                <w:szCs w:val="22"/>
              </w:rPr>
            </w:pPr>
            <w:r>
              <w:rPr>
                <w:rFonts w:ascii="Calibri" w:eastAsia="Times New Roman" w:hAnsi="Calibri" w:cs="Calibri"/>
                <w:b/>
                <w:bCs/>
                <w:sz w:val="22"/>
                <w:szCs w:val="22"/>
              </w:rPr>
              <w:t>INFORME N.º</w:t>
            </w:r>
          </w:p>
        </w:tc>
        <w:tc>
          <w:tcPr>
            <w:tcW w:w="0" w:type="auto"/>
            <w:tcMar>
              <w:top w:w="50" w:type="dxa"/>
              <w:left w:w="0" w:type="dxa"/>
              <w:bottom w:w="50" w:type="dxa"/>
              <w:right w:w="0" w:type="dxa"/>
            </w:tcMar>
            <w:hideMark/>
          </w:tcPr>
          <w:p w14:paraId="747E2FB0" w14:textId="77777777" w:rsidR="008D269C" w:rsidRDefault="008D269C">
            <w:pPr>
              <w:spacing w:after="280"/>
              <w:jc w:val="both"/>
              <w:rPr>
                <w:rFonts w:ascii="Calibri" w:eastAsia="Times New Roman" w:hAnsi="Calibri" w:cs="Calibri"/>
                <w:sz w:val="22"/>
                <w:szCs w:val="22"/>
              </w:rPr>
            </w:pPr>
            <w:r>
              <w:rPr>
                <w:rFonts w:ascii="Calibri" w:eastAsia="Times New Roman" w:hAnsi="Calibri" w:cs="Calibri"/>
                <w:sz w:val="22"/>
                <w:szCs w:val="22"/>
              </w:rPr>
              <w:t>ASOPREP-TIC-NEC-2026-______</w:t>
            </w:r>
          </w:p>
        </w:tc>
      </w:tr>
      <w:tr w:rsidR="00000000" w14:paraId="02FC0A07" w14:textId="77777777">
        <w:tc>
          <w:tcPr>
            <w:tcW w:w="1560" w:type="dxa"/>
            <w:tcMar>
              <w:top w:w="50" w:type="dxa"/>
              <w:left w:w="0" w:type="dxa"/>
              <w:bottom w:w="50" w:type="dxa"/>
              <w:right w:w="0" w:type="dxa"/>
            </w:tcMar>
            <w:hideMark/>
          </w:tcPr>
          <w:p w14:paraId="7FE4CF27" w14:textId="77777777" w:rsidR="008D269C" w:rsidRDefault="008D269C">
            <w:pPr>
              <w:spacing w:after="280"/>
              <w:jc w:val="both"/>
              <w:rPr>
                <w:rFonts w:ascii="Calibri" w:eastAsia="Times New Roman" w:hAnsi="Calibri" w:cs="Calibri"/>
                <w:b/>
                <w:bCs/>
                <w:sz w:val="22"/>
                <w:szCs w:val="22"/>
              </w:rPr>
            </w:pPr>
            <w:r>
              <w:rPr>
                <w:rFonts w:ascii="Calibri" w:eastAsia="Times New Roman" w:hAnsi="Calibri" w:cs="Calibri"/>
                <w:b/>
                <w:bCs/>
                <w:sz w:val="22"/>
                <w:szCs w:val="22"/>
              </w:rPr>
              <w:t>PARA:</w:t>
            </w:r>
          </w:p>
        </w:tc>
        <w:tc>
          <w:tcPr>
            <w:tcW w:w="0" w:type="auto"/>
            <w:tcMar>
              <w:top w:w="50" w:type="dxa"/>
              <w:left w:w="0" w:type="dxa"/>
              <w:bottom w:w="50" w:type="dxa"/>
              <w:right w:w="0" w:type="dxa"/>
            </w:tcMar>
            <w:hideMark/>
          </w:tcPr>
          <w:p w14:paraId="07EBFAAA" w14:textId="77777777" w:rsidR="008D269C" w:rsidRDefault="008D269C">
            <w:pPr>
              <w:spacing w:after="280"/>
              <w:jc w:val="both"/>
              <w:rPr>
                <w:rFonts w:ascii="Calibri" w:eastAsia="Times New Roman" w:hAnsi="Calibri" w:cs="Calibri"/>
                <w:sz w:val="22"/>
                <w:szCs w:val="22"/>
              </w:rPr>
            </w:pPr>
            <w:r>
              <w:rPr>
                <w:rFonts w:ascii="Calibri" w:eastAsia="Times New Roman" w:hAnsi="Calibri" w:cs="Calibri"/>
                <w:b/>
                <w:bCs/>
                <w:sz w:val="22"/>
                <w:szCs w:val="22"/>
              </w:rPr>
              <w:t>Econ. Leonardo David Ramírez Molina, Mgtr.</w:t>
            </w:r>
            <w:r>
              <w:rPr>
                <w:rFonts w:ascii="Calibri" w:eastAsia="Times New Roman" w:hAnsi="Calibri" w:cs="Calibri"/>
                <w:sz w:val="22"/>
                <w:szCs w:val="22"/>
              </w:rPr>
              <w:br/>
              <w:t>Gerente y Representante Legal</w:t>
            </w:r>
            <w:r>
              <w:rPr>
                <w:rFonts w:ascii="Calibri" w:eastAsia="Times New Roman" w:hAnsi="Calibri" w:cs="Calibri"/>
                <w:sz w:val="22"/>
                <w:szCs w:val="22"/>
              </w:rPr>
              <w:br/>
              <w:t>Asociación del Fondo Complementario Previsional Cerrado ASOPREP-FCPC, de Jubilación y Cesantía de las Empresas Públicas del Sector Hidrocarburífero</w:t>
            </w:r>
          </w:p>
        </w:tc>
      </w:tr>
      <w:tr w:rsidR="00000000" w14:paraId="4DE14BF9" w14:textId="77777777">
        <w:tc>
          <w:tcPr>
            <w:tcW w:w="1560" w:type="dxa"/>
            <w:tcMar>
              <w:top w:w="50" w:type="dxa"/>
              <w:left w:w="0" w:type="dxa"/>
              <w:bottom w:w="50" w:type="dxa"/>
              <w:right w:w="0" w:type="dxa"/>
            </w:tcMar>
            <w:hideMark/>
          </w:tcPr>
          <w:p w14:paraId="1A195FD9" w14:textId="77777777" w:rsidR="008D269C" w:rsidRDefault="008D269C">
            <w:pPr>
              <w:spacing w:after="280"/>
              <w:jc w:val="both"/>
              <w:rPr>
                <w:rFonts w:ascii="Calibri" w:eastAsia="Times New Roman" w:hAnsi="Calibri" w:cs="Calibri"/>
                <w:b/>
                <w:bCs/>
                <w:sz w:val="22"/>
                <w:szCs w:val="22"/>
              </w:rPr>
            </w:pPr>
            <w:r>
              <w:rPr>
                <w:rFonts w:ascii="Calibri" w:eastAsia="Times New Roman" w:hAnsi="Calibri" w:cs="Calibri"/>
                <w:b/>
                <w:bCs/>
                <w:sz w:val="22"/>
                <w:szCs w:val="22"/>
              </w:rPr>
              <w:t>DE:</w:t>
            </w:r>
          </w:p>
        </w:tc>
        <w:tc>
          <w:tcPr>
            <w:tcW w:w="0" w:type="auto"/>
            <w:tcMar>
              <w:top w:w="50" w:type="dxa"/>
              <w:left w:w="0" w:type="dxa"/>
              <w:bottom w:w="50" w:type="dxa"/>
              <w:right w:w="0" w:type="dxa"/>
            </w:tcMar>
            <w:hideMark/>
          </w:tcPr>
          <w:p w14:paraId="5A7ECF3D" w14:textId="77777777" w:rsidR="008D269C" w:rsidRDefault="008D269C">
            <w:pPr>
              <w:spacing w:after="280"/>
              <w:jc w:val="both"/>
              <w:rPr>
                <w:rFonts w:ascii="Calibri" w:eastAsia="Times New Roman" w:hAnsi="Calibri" w:cs="Calibri"/>
                <w:sz w:val="22"/>
                <w:szCs w:val="22"/>
              </w:rPr>
            </w:pPr>
            <w:r>
              <w:rPr>
                <w:rFonts w:ascii="Calibri" w:eastAsia="Times New Roman" w:hAnsi="Calibri" w:cs="Calibri"/>
                <w:b/>
                <w:bCs/>
                <w:sz w:val="22"/>
                <w:szCs w:val="22"/>
              </w:rPr>
              <w:t>Ing. Paúl Manosalvas</w:t>
            </w:r>
            <w:r>
              <w:rPr>
                <w:rFonts w:ascii="Calibri" w:eastAsia="Times New Roman" w:hAnsi="Calibri" w:cs="Calibri"/>
                <w:sz w:val="22"/>
                <w:szCs w:val="22"/>
              </w:rPr>
              <w:br/>
              <w:t>Jefe de Sistemas</w:t>
            </w:r>
            <w:r>
              <w:rPr>
                <w:rFonts w:ascii="Calibri" w:eastAsia="Times New Roman" w:hAnsi="Calibri" w:cs="Calibri"/>
                <w:sz w:val="22"/>
                <w:szCs w:val="22"/>
              </w:rPr>
              <w:br/>
              <w:t>ASOPREP-FCPC</w:t>
            </w:r>
          </w:p>
        </w:tc>
      </w:tr>
      <w:tr w:rsidR="00000000" w14:paraId="502BF998" w14:textId="77777777">
        <w:tc>
          <w:tcPr>
            <w:tcW w:w="1560" w:type="dxa"/>
            <w:tcMar>
              <w:top w:w="50" w:type="dxa"/>
              <w:left w:w="0" w:type="dxa"/>
              <w:bottom w:w="50" w:type="dxa"/>
              <w:right w:w="0" w:type="dxa"/>
            </w:tcMar>
            <w:hideMark/>
          </w:tcPr>
          <w:p w14:paraId="572C701D" w14:textId="77777777" w:rsidR="008D269C" w:rsidRDefault="008D269C">
            <w:pPr>
              <w:spacing w:after="280"/>
              <w:jc w:val="both"/>
              <w:rPr>
                <w:rFonts w:ascii="Calibri" w:eastAsia="Times New Roman" w:hAnsi="Calibri" w:cs="Calibri"/>
                <w:b/>
                <w:bCs/>
                <w:sz w:val="22"/>
                <w:szCs w:val="22"/>
              </w:rPr>
            </w:pPr>
            <w:r>
              <w:rPr>
                <w:rFonts w:ascii="Calibri" w:eastAsia="Times New Roman" w:hAnsi="Calibri" w:cs="Calibri"/>
                <w:b/>
                <w:bCs/>
                <w:sz w:val="22"/>
                <w:szCs w:val="22"/>
              </w:rPr>
              <w:t>ASUNTO:</w:t>
            </w:r>
          </w:p>
        </w:tc>
        <w:tc>
          <w:tcPr>
            <w:tcW w:w="0" w:type="auto"/>
            <w:tcMar>
              <w:top w:w="50" w:type="dxa"/>
              <w:left w:w="0" w:type="dxa"/>
              <w:bottom w:w="50" w:type="dxa"/>
              <w:right w:w="0" w:type="dxa"/>
            </w:tcMar>
            <w:hideMark/>
          </w:tcPr>
          <w:p w14:paraId="5ED5EE83" w14:textId="77777777" w:rsidR="008D269C" w:rsidRDefault="008D269C">
            <w:pPr>
              <w:spacing w:after="280"/>
              <w:jc w:val="both"/>
              <w:rPr>
                <w:rFonts w:ascii="Calibri" w:eastAsia="Times New Roman" w:hAnsi="Calibri" w:cs="Calibri"/>
                <w:sz w:val="22"/>
                <w:szCs w:val="22"/>
              </w:rPr>
            </w:pPr>
            <w:r>
              <w:rPr>
                <w:rFonts w:ascii="Calibri" w:eastAsia="Times New Roman" w:hAnsi="Calibri" w:cs="Calibri"/>
                <w:sz w:val="22"/>
                <w:szCs w:val="22"/>
              </w:rPr>
              <w:t>Validación técnica y recomendación de suscripción del Acta de Entrega-Recepción Definitiva del Sistema SAA, desarrollado por GAEMII NEXUS S.A.S. al amparo del Contrato Civil de Prestación de Servicios de 13 de octubre de 2025 y su Adendum de 3 de julio de 2026.</w:t>
            </w:r>
          </w:p>
        </w:tc>
      </w:tr>
      <w:tr w:rsidR="00000000" w14:paraId="48CF08DA" w14:textId="77777777">
        <w:tc>
          <w:tcPr>
            <w:tcW w:w="1560" w:type="dxa"/>
            <w:tcMar>
              <w:top w:w="50" w:type="dxa"/>
              <w:left w:w="0" w:type="dxa"/>
              <w:bottom w:w="50" w:type="dxa"/>
              <w:right w:w="0" w:type="dxa"/>
            </w:tcMar>
            <w:hideMark/>
          </w:tcPr>
          <w:p w14:paraId="42132C89" w14:textId="77777777" w:rsidR="008D269C" w:rsidRDefault="008D269C">
            <w:pPr>
              <w:spacing w:after="280"/>
              <w:jc w:val="both"/>
              <w:rPr>
                <w:rFonts w:ascii="Calibri" w:eastAsia="Times New Roman" w:hAnsi="Calibri" w:cs="Calibri"/>
                <w:b/>
                <w:bCs/>
                <w:sz w:val="22"/>
                <w:szCs w:val="22"/>
              </w:rPr>
            </w:pPr>
            <w:r>
              <w:rPr>
                <w:rFonts w:ascii="Calibri" w:eastAsia="Times New Roman" w:hAnsi="Calibri" w:cs="Calibri"/>
                <w:b/>
                <w:bCs/>
                <w:sz w:val="22"/>
                <w:szCs w:val="22"/>
              </w:rPr>
              <w:t>FECHA:</w:t>
            </w:r>
          </w:p>
        </w:tc>
        <w:tc>
          <w:tcPr>
            <w:tcW w:w="0" w:type="auto"/>
            <w:tcMar>
              <w:top w:w="50" w:type="dxa"/>
              <w:left w:w="0" w:type="dxa"/>
              <w:bottom w:w="50" w:type="dxa"/>
              <w:right w:w="0" w:type="dxa"/>
            </w:tcMar>
            <w:hideMark/>
          </w:tcPr>
          <w:p w14:paraId="74A06852" w14:textId="77777777" w:rsidR="008D269C" w:rsidRDefault="008D269C">
            <w:pPr>
              <w:spacing w:after="280"/>
              <w:jc w:val="both"/>
              <w:rPr>
                <w:rFonts w:ascii="Calibri" w:eastAsia="Times New Roman" w:hAnsi="Calibri" w:cs="Calibri"/>
                <w:sz w:val="22"/>
                <w:szCs w:val="22"/>
              </w:rPr>
            </w:pPr>
            <w:r>
              <w:rPr>
                <w:rFonts w:ascii="Calibri" w:eastAsia="Times New Roman" w:hAnsi="Calibri" w:cs="Calibri"/>
                <w:sz w:val="22"/>
                <w:szCs w:val="22"/>
              </w:rPr>
              <w:t>Quito D.M., 14 de septiembre de 2026</w:t>
            </w:r>
          </w:p>
        </w:tc>
      </w:tr>
    </w:tbl>
    <w:p w14:paraId="49935ECC" w14:textId="77777777" w:rsidR="008D269C" w:rsidRDefault="008D269C">
      <w:pPr>
        <w:spacing w:before="280" w:after="280"/>
        <w:jc w:val="both"/>
        <w:rPr>
          <w:rFonts w:ascii="Calibri" w:eastAsia="Times New Roman" w:hAnsi="Calibri" w:cs="Calibri"/>
          <w:sz w:val="22"/>
          <w:szCs w:val="22"/>
        </w:rPr>
      </w:pPr>
      <w:r>
        <w:rPr>
          <w:rFonts w:ascii="Calibri" w:eastAsia="Times New Roman" w:hAnsi="Calibri" w:cs="Calibri"/>
          <w:sz w:val="22"/>
          <w:szCs w:val="22"/>
        </w:rPr>
        <w:pict w14:anchorId="02E86827">
          <v:rect id="_x0000_i1025" style="width:0;height:1.5pt" o:hralign="center" o:hrstd="t" o:hr="t" fillcolor="#a0a0a0" stroked="f"/>
        </w:pict>
      </w:r>
    </w:p>
    <w:p w14:paraId="35A89C84" w14:textId="77777777" w:rsidR="008D269C" w:rsidRDefault="008D269C">
      <w:pPr>
        <w:pStyle w:val="Ttulo2"/>
        <w:rPr>
          <w:rFonts w:eastAsia="Times New Roman"/>
        </w:rPr>
      </w:pPr>
      <w:r>
        <w:rPr>
          <w:rFonts w:eastAsia="Times New Roman"/>
        </w:rPr>
        <w:t>1. Antecedentes</w:t>
      </w:r>
    </w:p>
    <w:p w14:paraId="208936B7" w14:textId="77777777" w:rsidR="008D269C" w:rsidRDefault="008D269C">
      <w:pPr>
        <w:pStyle w:val="NormalWeb"/>
        <w:jc w:val="both"/>
        <w:rPr>
          <w:rFonts w:ascii="Calibri" w:hAnsi="Calibri" w:cs="Calibri"/>
          <w:sz w:val="22"/>
          <w:szCs w:val="22"/>
        </w:rPr>
      </w:pPr>
      <w:r>
        <w:rPr>
          <w:rFonts w:ascii="Calibri" w:hAnsi="Calibri" w:cs="Calibri"/>
          <w:sz w:val="22"/>
          <w:szCs w:val="22"/>
        </w:rPr>
        <w:t>1.1. El 13 de octubre de 2025, ASOPREP-FCPC y GAEMII NEXUS S.A.S. suscribieron el Contrato Civil de Prestación de Servicios para el Desarrollo de Software a la Medida, cuyo objeto es desarrollar, instalar y poner en producción el Sistema de Administración ASOPREP (SAA), conforme a la Especificación de Requerimientos contenida en su Anexo 1 de 1 de octubre de 2025.</w:t>
      </w:r>
    </w:p>
    <w:p w14:paraId="4B04DE40" w14:textId="77777777" w:rsidR="008D269C" w:rsidRDefault="008D269C">
      <w:pPr>
        <w:pStyle w:val="NormalWeb"/>
        <w:jc w:val="both"/>
        <w:rPr>
          <w:rFonts w:ascii="Calibri" w:hAnsi="Calibri" w:cs="Calibri"/>
          <w:sz w:val="22"/>
          <w:szCs w:val="22"/>
        </w:rPr>
      </w:pPr>
      <w:r>
        <w:rPr>
          <w:rFonts w:ascii="Calibri" w:hAnsi="Calibri" w:cs="Calibri"/>
          <w:sz w:val="22"/>
          <w:szCs w:val="22"/>
        </w:rPr>
        <w:t>1.2. Mediante informe INF-ASOPREP-SRV-2025-01 de 9 de diciembre de 2025, el proveedor documentó el avance del primer hito, sobre cuya base esta Asociación efectuó el segundo pago previsto en la cláusula Sexta del Contrato.</w:t>
      </w:r>
    </w:p>
    <w:p w14:paraId="14CF19F0" w14:textId="77777777" w:rsidR="008D269C" w:rsidRDefault="008D269C">
      <w:pPr>
        <w:pStyle w:val="NormalWeb"/>
        <w:jc w:val="both"/>
        <w:rPr>
          <w:rFonts w:ascii="Calibri" w:hAnsi="Calibri" w:cs="Calibri"/>
          <w:sz w:val="22"/>
          <w:szCs w:val="22"/>
        </w:rPr>
      </w:pPr>
      <w:r>
        <w:rPr>
          <w:rFonts w:ascii="Calibri" w:hAnsi="Calibri" w:cs="Calibri"/>
          <w:sz w:val="22"/>
          <w:szCs w:val="22"/>
        </w:rPr>
        <w:t>1.3. El 3 de julio de 2026 las partes suscribieron el Adendum al Contrato, sustentado —entre otros— en el informe ASOPREP-TIC-NEC-2026-006 de este Departamento y en el informe FCPC-CRE-GR-163-2026 del área de Crédito, ambos de 2 de julio de 2026, mediante el cual se extendió el plazo de ejecución hasta el 16 de septiembre de 2026 y se reestructuró el último pago.</w:t>
      </w:r>
    </w:p>
    <w:p w14:paraId="6822DA1C"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1.4. El proveedor ha puesto a consideración de esta Asociación el proyecto de </w:t>
      </w:r>
      <w:r>
        <w:rPr>
          <w:rFonts w:ascii="Calibri" w:hAnsi="Calibri" w:cs="Calibri"/>
          <w:b/>
          <w:bCs/>
          <w:sz w:val="22"/>
          <w:szCs w:val="22"/>
        </w:rPr>
        <w:t>Acta de Entrega-Recepción Definitiva</w:t>
      </w:r>
      <w:r>
        <w:rPr>
          <w:rFonts w:ascii="Calibri" w:hAnsi="Calibri" w:cs="Calibri"/>
          <w:sz w:val="22"/>
          <w:szCs w:val="22"/>
        </w:rPr>
        <w:t xml:space="preserve"> </w:t>
      </w:r>
      <w:r>
        <w:rPr>
          <w:rFonts w:ascii="Calibri" w:hAnsi="Calibri" w:cs="Calibri"/>
          <w:sz w:val="22"/>
          <w:szCs w:val="22"/>
        </w:rPr>
        <w:t>del Sistema SAA, con sus Anexos A (inventario funcional), B (arquitectura y desarrollo en capas) y C (aplicación móvil ASOPREP CONTIGO).</w:t>
      </w:r>
    </w:p>
    <w:p w14:paraId="1C1660C8" w14:textId="77777777" w:rsidR="008D269C" w:rsidRDefault="008D269C">
      <w:pPr>
        <w:pStyle w:val="NormalWeb"/>
        <w:jc w:val="both"/>
        <w:rPr>
          <w:rFonts w:ascii="Calibri" w:hAnsi="Calibri" w:cs="Calibri"/>
          <w:sz w:val="22"/>
          <w:szCs w:val="22"/>
        </w:rPr>
      </w:pPr>
      <w:r>
        <w:rPr>
          <w:rFonts w:ascii="Calibri" w:hAnsi="Calibri" w:cs="Calibri"/>
          <w:sz w:val="22"/>
          <w:szCs w:val="22"/>
        </w:rPr>
        <w:t>1.5. En mi calidad de Jefe de Sistemas, y conforme a la intervención que me asigna la cláusula Primera del Acta como responsable de la validación técnica por parte de ASOPREP, emito el presente informe.</w:t>
      </w:r>
    </w:p>
    <w:p w14:paraId="218B8EC2" w14:textId="77777777" w:rsidR="008D269C" w:rsidRDefault="008D269C">
      <w:pPr>
        <w:pStyle w:val="Ttulo2"/>
        <w:rPr>
          <w:rFonts w:eastAsia="Times New Roman"/>
        </w:rPr>
      </w:pPr>
      <w:r>
        <w:rPr>
          <w:rFonts w:eastAsia="Times New Roman"/>
        </w:rPr>
        <w:t>2. Alcance de la validación efectuada</w:t>
      </w:r>
    </w:p>
    <w:p w14:paraId="01F06180" w14:textId="77777777" w:rsidR="008D269C" w:rsidRDefault="008D269C">
      <w:pPr>
        <w:pStyle w:val="NormalWeb"/>
        <w:jc w:val="both"/>
        <w:rPr>
          <w:rFonts w:ascii="Calibri" w:hAnsi="Calibri" w:cs="Calibri"/>
          <w:sz w:val="22"/>
          <w:szCs w:val="22"/>
        </w:rPr>
      </w:pPr>
      <w:r>
        <w:rPr>
          <w:rFonts w:ascii="Calibri" w:hAnsi="Calibri" w:cs="Calibri"/>
          <w:sz w:val="22"/>
          <w:szCs w:val="22"/>
        </w:rPr>
        <w:lastRenderedPageBreak/>
        <w:t xml:space="preserve">La validación no se sustentó en pruebas de laboratorio ni en demostraciones controladas, sino en la </w:t>
      </w:r>
      <w:r>
        <w:rPr>
          <w:rFonts w:ascii="Calibri" w:hAnsi="Calibri" w:cs="Calibri"/>
          <w:b/>
          <w:bCs/>
          <w:sz w:val="22"/>
          <w:szCs w:val="22"/>
        </w:rPr>
        <w:t>operación real de la Asociación</w:t>
      </w:r>
      <w:r>
        <w:rPr>
          <w:rFonts w:ascii="Calibri" w:hAnsi="Calibri" w:cs="Calibri"/>
          <w:sz w:val="22"/>
          <w:szCs w:val="22"/>
        </w:rPr>
        <w:t>, que es la prueba más exigente de la que disponemos. En concreto:</w:t>
      </w:r>
    </w:p>
    <w:p w14:paraId="7DD927BD"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2.1. </w:t>
      </w:r>
      <w:r>
        <w:rPr>
          <w:rFonts w:ascii="Calibri" w:hAnsi="Calibri" w:cs="Calibri"/>
          <w:b/>
          <w:bCs/>
          <w:sz w:val="22"/>
          <w:szCs w:val="22"/>
        </w:rPr>
        <w:t>Operación productiva del mes de agosto de 2026.</w:t>
      </w:r>
      <w:r>
        <w:rPr>
          <w:rFonts w:ascii="Calibri" w:hAnsi="Calibri" w:cs="Calibri"/>
          <w:sz w:val="22"/>
          <w:szCs w:val="22"/>
        </w:rPr>
        <w:t xml:space="preserve"> La totalidad de la operación de ASOPREP fue procesada en el Sistema SAA durante dicho mes: contabilidad, tesorería, cuentas por cobrar, cuentas por pagar, créditos y nómina. Se incluyen el cierre de cartera, el pago mensual a jubilados, los reportes regulatorios G40 a G51 remitidos a la Superintendencia de Bancos, los informes mensuales de cartera y los balances del período.</w:t>
      </w:r>
    </w:p>
    <w:p w14:paraId="0ED67F5E"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2.2. </w:t>
      </w:r>
      <w:r>
        <w:rPr>
          <w:rFonts w:ascii="Calibri" w:hAnsi="Calibri" w:cs="Calibri"/>
          <w:b/>
          <w:bCs/>
          <w:sz w:val="22"/>
          <w:szCs w:val="22"/>
        </w:rPr>
        <w:t>Uso por las áreas usuarias.</w:t>
      </w:r>
      <w:r>
        <w:rPr>
          <w:rFonts w:ascii="Calibri" w:hAnsi="Calibri" w:cs="Calibri"/>
          <w:sz w:val="22"/>
          <w:szCs w:val="22"/>
        </w:rPr>
        <w:t xml:space="preserve"> El sistema se encuentra instalado y en operación en los servidores de propiedad de ASOPREP y es utilizado de manera cotidiana por las áreas de Contabilidad, Tesorería, Crédito, Cuentas por Cobrar, Cuentas por Pagar y Recursos Humanos.</w:t>
      </w:r>
    </w:p>
    <w:p w14:paraId="55E0ED5F"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2.3. </w:t>
      </w:r>
      <w:r>
        <w:rPr>
          <w:rFonts w:ascii="Calibri" w:hAnsi="Calibri" w:cs="Calibri"/>
          <w:b/>
          <w:bCs/>
          <w:sz w:val="22"/>
          <w:szCs w:val="22"/>
        </w:rPr>
        <w:t>Cotejo del inventario funcional.</w:t>
      </w:r>
      <w:r>
        <w:rPr>
          <w:rFonts w:ascii="Calibri" w:hAnsi="Calibri" w:cs="Calibri"/>
          <w:sz w:val="22"/>
          <w:szCs w:val="22"/>
        </w:rPr>
        <w:t xml:space="preserve"> Se contrastó el Anexo A del Acta —inventario funcional módulo por módulo— contra las funcionalidades efectivamente disponibles y en uso en producción.</w:t>
      </w:r>
    </w:p>
    <w:p w14:paraId="30FF4681"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2.4. </w:t>
      </w:r>
      <w:r>
        <w:rPr>
          <w:rFonts w:ascii="Calibri" w:hAnsi="Calibri" w:cs="Calibri"/>
          <w:b/>
          <w:bCs/>
          <w:sz w:val="22"/>
          <w:szCs w:val="22"/>
        </w:rPr>
        <w:t>Migración de la información histórica.</w:t>
      </w:r>
      <w:r>
        <w:rPr>
          <w:rFonts w:ascii="Calibri" w:hAnsi="Calibri" w:cs="Calibri"/>
          <w:sz w:val="22"/>
          <w:szCs w:val="22"/>
        </w:rPr>
        <w:t xml:space="preserve"> </w:t>
      </w:r>
      <w:r>
        <w:rPr>
          <w:rFonts w:ascii="Calibri" w:hAnsi="Calibri" w:cs="Calibri"/>
          <w:sz w:val="22"/>
          <w:szCs w:val="22"/>
        </w:rPr>
        <w:t>Se verificó la absorción al SAA de la información del sistema DELTA 21, prevista en el numeral 2.1 del Anexo 1 del Contrato.</w:t>
      </w:r>
    </w:p>
    <w:p w14:paraId="4C409968"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2.5. </w:t>
      </w:r>
      <w:r>
        <w:rPr>
          <w:rFonts w:ascii="Calibri" w:hAnsi="Calibri" w:cs="Calibri"/>
          <w:b/>
          <w:bCs/>
          <w:sz w:val="22"/>
          <w:szCs w:val="22"/>
        </w:rPr>
        <w:t>Integraciones externas.</w:t>
      </w:r>
      <w:r>
        <w:rPr>
          <w:rFonts w:ascii="Calibri" w:hAnsi="Calibri" w:cs="Calibri"/>
          <w:sz w:val="22"/>
          <w:szCs w:val="22"/>
        </w:rPr>
        <w:t xml:space="preserve"> Se verificó la operación de las integraciones con el Servicio de Rentas Internas, con Petrocomercial y con las entidades financieras con las que opera la Asociación.</w:t>
      </w:r>
    </w:p>
    <w:p w14:paraId="6549FCC0"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2.6. </w:t>
      </w:r>
      <w:r>
        <w:rPr>
          <w:rFonts w:ascii="Calibri" w:hAnsi="Calibri" w:cs="Calibri"/>
          <w:b/>
          <w:bCs/>
          <w:sz w:val="22"/>
          <w:szCs w:val="22"/>
        </w:rPr>
        <w:t>Capacitación.</w:t>
      </w:r>
      <w:r>
        <w:rPr>
          <w:rFonts w:ascii="Calibri" w:hAnsi="Calibri" w:cs="Calibri"/>
          <w:sz w:val="22"/>
          <w:szCs w:val="22"/>
        </w:rPr>
        <w:t xml:space="preserve"> </w:t>
      </w:r>
      <w:r>
        <w:rPr>
          <w:rFonts w:ascii="Calibri" w:hAnsi="Calibri" w:cs="Calibri"/>
          <w:sz w:val="22"/>
          <w:szCs w:val="22"/>
        </w:rPr>
        <w:t>Se deja constancia de que la capacitación al personal se impartió de manera continua durante todo el proceso de desarrollo e implantación, módulo a módulo y a medida que cada uno entraba en operación, con participación de los responsables de cada área.</w:t>
      </w:r>
    </w:p>
    <w:p w14:paraId="62724703" w14:textId="77777777" w:rsidR="008D269C" w:rsidRDefault="008D269C">
      <w:pPr>
        <w:pStyle w:val="Ttulo2"/>
        <w:rPr>
          <w:rFonts w:eastAsia="Times New Roman"/>
        </w:rPr>
      </w:pPr>
      <w:r>
        <w:rPr>
          <w:rFonts w:eastAsia="Times New Roman"/>
        </w:rPr>
        <w:t>3. Resultado de la validación</w:t>
      </w:r>
    </w:p>
    <w:p w14:paraId="551B2231"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3.1. Los módulos contratados —Contabilidad, Tesorería, Cuentas por Cobrar, Cuentas por Pagar, Créditos, Recursos Humanos, Servidor de reportes conectado a cada módulo, y Conexión con sistemas actuales, con sus componentes de migración de DELTA 21, integraciones externas y capa de conexión con la aplicación ASOPREP CONTIGO— </w:t>
      </w:r>
      <w:r>
        <w:rPr>
          <w:rFonts w:ascii="Calibri" w:hAnsi="Calibri" w:cs="Calibri"/>
          <w:b/>
          <w:bCs/>
          <w:sz w:val="22"/>
          <w:szCs w:val="22"/>
        </w:rPr>
        <w:t>se encuentran entregados, operativos y en uso productivo</w:t>
      </w:r>
      <w:r>
        <w:rPr>
          <w:rFonts w:ascii="Calibri" w:hAnsi="Calibri" w:cs="Calibri"/>
          <w:sz w:val="22"/>
          <w:szCs w:val="22"/>
        </w:rPr>
        <w:t>, en correspondencia con la cláusula Séptima del Contrato y el numeral 2.1 de su Anexo 1.</w:t>
      </w:r>
    </w:p>
    <w:p w14:paraId="0CFBA56B"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3.2. El desempeño del sistema durante el cierre de agosto de 2026 permite afirmar que el SAA </w:t>
      </w:r>
      <w:r>
        <w:rPr>
          <w:rFonts w:ascii="Calibri" w:hAnsi="Calibri" w:cs="Calibri"/>
          <w:b/>
          <w:bCs/>
          <w:sz w:val="22"/>
          <w:szCs w:val="22"/>
        </w:rPr>
        <w:t>sostiene la operación completa de la Asociación</w:t>
      </w:r>
      <w:r>
        <w:rPr>
          <w:rFonts w:ascii="Calibri" w:hAnsi="Calibri" w:cs="Calibri"/>
          <w:sz w:val="22"/>
          <w:szCs w:val="22"/>
        </w:rPr>
        <w:t>, incluida la generación de la información regulatoria que ASOPREP debe remitir a su organismo de control.</w:t>
      </w:r>
    </w:p>
    <w:p w14:paraId="2D05B7C3" w14:textId="77777777" w:rsidR="008D269C" w:rsidRDefault="008D269C">
      <w:pPr>
        <w:pStyle w:val="NormalWeb"/>
        <w:jc w:val="both"/>
        <w:rPr>
          <w:rFonts w:ascii="Calibri" w:hAnsi="Calibri" w:cs="Calibri"/>
          <w:sz w:val="22"/>
          <w:szCs w:val="22"/>
        </w:rPr>
      </w:pPr>
      <w:r>
        <w:rPr>
          <w:rFonts w:ascii="Calibri" w:hAnsi="Calibri" w:cs="Calibri"/>
          <w:sz w:val="22"/>
          <w:szCs w:val="22"/>
        </w:rPr>
        <w:t>3.3. Como es propio de un sistema de esta envergadura, se han presentado y previsiblemente se seguirán presentando ajustes y correcciones derivados de la operación continuada. Durante todo el período de implantación el proveedor ha atendido estos requerimientos, y el Acta los encuadra expresamente dentro de la garantía de seis (6) meses de su cláusula Séptima.</w:t>
      </w:r>
    </w:p>
    <w:p w14:paraId="4F678F07"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3.4. </w:t>
      </w:r>
      <w:r>
        <w:rPr>
          <w:rFonts w:ascii="Calibri" w:hAnsi="Calibri" w:cs="Calibri"/>
          <w:b/>
          <w:bCs/>
          <w:sz w:val="22"/>
          <w:szCs w:val="22"/>
        </w:rPr>
        <w:t>No se ha identificado ningún incumplimiento del alcance contratado</w:t>
      </w:r>
      <w:r>
        <w:rPr>
          <w:rFonts w:ascii="Calibri" w:hAnsi="Calibri" w:cs="Calibri"/>
          <w:sz w:val="22"/>
          <w:szCs w:val="22"/>
        </w:rPr>
        <w:t xml:space="preserve"> que impida o desaconseje la recepción definitiva.</w:t>
      </w:r>
    </w:p>
    <w:p w14:paraId="52E6DB8E" w14:textId="77777777" w:rsidR="008D269C" w:rsidRDefault="008D269C">
      <w:pPr>
        <w:pStyle w:val="Ttulo2"/>
        <w:rPr>
          <w:rFonts w:eastAsia="Times New Roman"/>
        </w:rPr>
      </w:pPr>
      <w:r>
        <w:rPr>
          <w:rFonts w:eastAsia="Times New Roman"/>
        </w:rPr>
        <w:t>4. Obligaciones que subsisten y sobre las que esta Jefatura deja constancia</w:t>
      </w:r>
    </w:p>
    <w:p w14:paraId="7D81B285" w14:textId="77777777" w:rsidR="008D269C" w:rsidRDefault="008D269C">
      <w:pPr>
        <w:pStyle w:val="NormalWeb"/>
        <w:jc w:val="both"/>
        <w:rPr>
          <w:rFonts w:ascii="Calibri" w:hAnsi="Calibri" w:cs="Calibri"/>
          <w:sz w:val="22"/>
          <w:szCs w:val="22"/>
        </w:rPr>
      </w:pPr>
      <w:r>
        <w:rPr>
          <w:rFonts w:ascii="Calibri" w:hAnsi="Calibri" w:cs="Calibri"/>
          <w:sz w:val="22"/>
          <w:szCs w:val="22"/>
        </w:rPr>
        <w:t>Con el objeto de que la suscripción del Acta se produzca con pleno conocimiento de su contenido, dejo constancia de las tres obligaciones que, por su naturaleza, subsisten a la recepción definitiva, todas ellas expresamente previstas en el propio instrumento:</w:t>
      </w:r>
    </w:p>
    <w:p w14:paraId="73AA93A5" w14:textId="77777777" w:rsidR="008D269C" w:rsidRDefault="008D269C">
      <w:pPr>
        <w:pStyle w:val="NormalWeb"/>
        <w:jc w:val="both"/>
        <w:rPr>
          <w:rFonts w:ascii="Calibri" w:hAnsi="Calibri" w:cs="Calibri"/>
          <w:sz w:val="22"/>
          <w:szCs w:val="22"/>
        </w:rPr>
      </w:pPr>
      <w:r>
        <w:rPr>
          <w:rFonts w:ascii="Calibri" w:hAnsi="Calibri" w:cs="Calibri"/>
          <w:sz w:val="22"/>
          <w:szCs w:val="22"/>
        </w:rPr>
        <w:lastRenderedPageBreak/>
        <w:t xml:space="preserve">4.1. </w:t>
      </w:r>
      <w:r>
        <w:rPr>
          <w:rFonts w:ascii="Calibri" w:hAnsi="Calibri" w:cs="Calibri"/>
          <w:b/>
          <w:bCs/>
          <w:sz w:val="22"/>
          <w:szCs w:val="22"/>
        </w:rPr>
        <w:t>Activación de perfiles y permisos por área (cláusula Octava del Acta).</w:t>
      </w:r>
      <w:r>
        <w:rPr>
          <w:rFonts w:ascii="Calibri" w:hAnsi="Calibri" w:cs="Calibri"/>
          <w:sz w:val="22"/>
          <w:szCs w:val="22"/>
        </w:rPr>
        <w:t xml:space="preserve"> </w:t>
      </w:r>
      <w:r>
        <w:rPr>
          <w:rFonts w:ascii="Calibri" w:hAnsi="Calibri" w:cs="Calibri"/>
          <w:sz w:val="22"/>
          <w:szCs w:val="22"/>
        </w:rPr>
        <w:t xml:space="preserve">El módulo de Seguridades y auditoría se entrega desarrollado y operativo. La activación de los perfiles por área se ejecutará una vez que </w:t>
      </w:r>
      <w:r>
        <w:rPr>
          <w:rFonts w:ascii="Calibri" w:hAnsi="Calibri" w:cs="Calibri"/>
          <w:b/>
          <w:bCs/>
          <w:sz w:val="22"/>
          <w:szCs w:val="22"/>
        </w:rPr>
        <w:t>las jefaturas de cada área de ASOPREP entreguen la definición de los roles y permisos que requieren</w:t>
      </w:r>
      <w:r>
        <w:rPr>
          <w:rFonts w:ascii="Calibri" w:hAnsi="Calibri" w:cs="Calibri"/>
          <w:sz w:val="22"/>
          <w:szCs w:val="22"/>
        </w:rPr>
        <w:t>, y se realizará dentro del período de garantía sin costo para la Asociación. Hasta entonces el sistema opera con la configuración de acceso vigente.</w:t>
      </w:r>
    </w:p>
    <w:p w14:paraId="71EF208B" w14:textId="77777777" w:rsidR="008D269C" w:rsidRDefault="008D269C">
      <w:pPr>
        <w:pStyle w:val="NormalWeb"/>
        <w:spacing w:after="0"/>
        <w:jc w:val="both"/>
        <w:divId w:val="1003781461"/>
        <w:rPr>
          <w:rFonts w:ascii="Calibri" w:hAnsi="Calibri" w:cs="Calibri"/>
          <w:sz w:val="21"/>
          <w:szCs w:val="21"/>
        </w:rPr>
      </w:pPr>
      <w:r>
        <w:rPr>
          <w:rFonts w:ascii="Calibri" w:hAnsi="Calibri" w:cs="Calibri"/>
          <w:b/>
          <w:bCs/>
          <w:sz w:val="21"/>
          <w:szCs w:val="21"/>
        </w:rPr>
        <w:t>Observación de esta Jefatura.</w:t>
      </w:r>
      <w:r>
        <w:rPr>
          <w:rFonts w:ascii="Calibri" w:hAnsi="Calibri" w:cs="Calibri"/>
          <w:sz w:val="21"/>
          <w:szCs w:val="21"/>
        </w:rPr>
        <w:t xml:space="preserve"> </w:t>
      </w:r>
      <w:r>
        <w:rPr>
          <w:rFonts w:ascii="Calibri" w:hAnsi="Calibri" w:cs="Calibri"/>
          <w:sz w:val="21"/>
          <w:szCs w:val="21"/>
        </w:rPr>
        <w:t>La entrega de dicha definición es una actuación que corresponde a ASOPREP, no al proveedor, y su demora posterga la implantación de un control interno relevante para la Asociación. Recomiendo que Gerencia disponga a las jefaturas de área la entrega de sus matrices de roles en un plazo determinado.</w:t>
      </w:r>
    </w:p>
    <w:p w14:paraId="7DC05B38"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4.2. </w:t>
      </w:r>
      <w:r>
        <w:rPr>
          <w:rFonts w:ascii="Calibri" w:hAnsi="Calibri" w:cs="Calibri"/>
          <w:b/>
          <w:bCs/>
          <w:sz w:val="22"/>
          <w:szCs w:val="22"/>
        </w:rPr>
        <w:t>Puesta en producción de la aplicación móvil ASOPREP CONTIGO (cláusula Novena del Acta).</w:t>
      </w:r>
      <w:r>
        <w:rPr>
          <w:rFonts w:ascii="Calibri" w:hAnsi="Calibri" w:cs="Calibri"/>
          <w:sz w:val="22"/>
          <w:szCs w:val="22"/>
        </w:rPr>
        <w:t xml:space="preserve"> La apl</w:t>
      </w:r>
      <w:r>
        <w:rPr>
          <w:rFonts w:ascii="Calibri" w:hAnsi="Calibri" w:cs="Calibri"/>
          <w:sz w:val="22"/>
          <w:szCs w:val="22"/>
        </w:rPr>
        <w:t>icación se entrega desarrollada, integrada con el SAA y validada en pruebas; su publicación en las tiendas de aplicaciones se ejecutará conforme a lo previsto en dicha cláusula.</w:t>
      </w:r>
    </w:p>
    <w:p w14:paraId="577874BE"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4.3. </w:t>
      </w:r>
      <w:r>
        <w:rPr>
          <w:rFonts w:ascii="Calibri" w:hAnsi="Calibri" w:cs="Calibri"/>
          <w:b/>
          <w:bCs/>
          <w:sz w:val="22"/>
          <w:szCs w:val="22"/>
        </w:rPr>
        <w:t>Entrega diferida del código fuente y de los manuales de usuario (cláusula Décima del Acta).</w:t>
      </w:r>
      <w:r>
        <w:rPr>
          <w:rFonts w:ascii="Calibri" w:hAnsi="Calibri" w:cs="Calibri"/>
          <w:sz w:val="22"/>
          <w:szCs w:val="22"/>
        </w:rPr>
        <w:t xml:space="preserve"> </w:t>
      </w:r>
      <w:r>
        <w:rPr>
          <w:rFonts w:ascii="Calibri" w:hAnsi="Calibri" w:cs="Calibri"/>
          <w:sz w:val="22"/>
          <w:szCs w:val="22"/>
        </w:rPr>
        <w:t>De común acuerdo entre las partes, y sin que ello afecte la recepción definitiva ni el pago del saldo, la entrega física de fuentes y manuales se difiere a la versión estabilizada del sistema al término de los ajustes de garantía, con entrega a más tardar al vencimiento de dicho período.</w:t>
      </w:r>
    </w:p>
    <w:p w14:paraId="43239189" w14:textId="77777777" w:rsidR="008D269C" w:rsidRDefault="008D269C">
      <w:pPr>
        <w:pStyle w:val="NormalWeb"/>
        <w:spacing w:after="0"/>
        <w:jc w:val="both"/>
        <w:divId w:val="1528443120"/>
        <w:rPr>
          <w:rFonts w:ascii="Calibri" w:hAnsi="Calibri" w:cs="Calibri"/>
          <w:sz w:val="21"/>
          <w:szCs w:val="21"/>
        </w:rPr>
      </w:pPr>
      <w:r>
        <w:rPr>
          <w:rFonts w:ascii="Calibri" w:hAnsi="Calibri" w:cs="Calibri"/>
          <w:b/>
          <w:bCs/>
          <w:sz w:val="21"/>
          <w:szCs w:val="21"/>
        </w:rPr>
        <w:t>Observación de esta Jefatura.</w:t>
      </w:r>
      <w:r>
        <w:rPr>
          <w:rFonts w:ascii="Calibri" w:hAnsi="Calibri" w:cs="Calibri"/>
          <w:sz w:val="21"/>
          <w:szCs w:val="21"/>
        </w:rPr>
        <w:t xml:space="preserve"> </w:t>
      </w:r>
      <w:r>
        <w:rPr>
          <w:rFonts w:ascii="Calibri" w:hAnsi="Calibri" w:cs="Calibri"/>
          <w:sz w:val="21"/>
          <w:szCs w:val="21"/>
        </w:rPr>
        <w:t>El diferimiento es técnicamente conveniente para ASOPREP: recibir las fuentes y los manuales de una versión que aún está en ajuste obligaría a rehacerlos, y la cláusula Décima fija un plazo cierto —el vencimiento de la garantía— de modo que el diferimiento no queda abierto. Se establece además una revisión mensual conjunta con los responsables de cada área, cuyo seguimiento asumirá esta Jefatura.</w:t>
      </w:r>
    </w:p>
    <w:p w14:paraId="46931FEB" w14:textId="77777777" w:rsidR="008D269C" w:rsidRDefault="008D269C">
      <w:pPr>
        <w:pStyle w:val="Ttulo2"/>
        <w:rPr>
          <w:rFonts w:eastAsia="Times New Roman"/>
        </w:rPr>
      </w:pPr>
      <w:r>
        <w:rPr>
          <w:rFonts w:eastAsia="Times New Roman"/>
        </w:rPr>
        <w:t>5. Conclusiones</w:t>
      </w:r>
    </w:p>
    <w:p w14:paraId="153C4A79" w14:textId="77777777" w:rsidR="008D269C" w:rsidRDefault="008D269C">
      <w:pPr>
        <w:pStyle w:val="NormalWeb"/>
        <w:jc w:val="both"/>
        <w:rPr>
          <w:rFonts w:ascii="Calibri" w:hAnsi="Calibri" w:cs="Calibri"/>
          <w:sz w:val="22"/>
          <w:szCs w:val="22"/>
        </w:rPr>
      </w:pPr>
      <w:r>
        <w:rPr>
          <w:rFonts w:ascii="Calibri" w:hAnsi="Calibri" w:cs="Calibri"/>
          <w:sz w:val="22"/>
          <w:szCs w:val="22"/>
        </w:rPr>
        <w:t>5.1. El Sistema SAA cumple el objeto contractual: se encuentra desarrollado, instalado, en producción y sosteniendo la operación íntegra de la Asociación.</w:t>
      </w:r>
    </w:p>
    <w:p w14:paraId="4501BE1A" w14:textId="77777777" w:rsidR="008D269C" w:rsidRDefault="008D269C">
      <w:pPr>
        <w:pStyle w:val="NormalWeb"/>
        <w:jc w:val="both"/>
        <w:rPr>
          <w:rFonts w:ascii="Calibri" w:hAnsi="Calibri" w:cs="Calibri"/>
          <w:sz w:val="22"/>
          <w:szCs w:val="22"/>
        </w:rPr>
      </w:pPr>
      <w:r>
        <w:rPr>
          <w:rFonts w:ascii="Calibri" w:hAnsi="Calibri" w:cs="Calibri"/>
          <w:sz w:val="22"/>
          <w:szCs w:val="22"/>
        </w:rPr>
        <w:t>5.2. La operación completa del mes de agosto de 2026 constituye la prueba de aceptación en producción prevista en la cláusula Octava del Contrato, y se encuentra satisfecha.</w:t>
      </w:r>
    </w:p>
    <w:p w14:paraId="6EE6C37C"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5.3. El Acta de Entrega-Recepción Definitiva puesta a consideración </w:t>
      </w:r>
      <w:r>
        <w:rPr>
          <w:rFonts w:ascii="Calibri" w:hAnsi="Calibri" w:cs="Calibri"/>
          <w:b/>
          <w:bCs/>
          <w:sz w:val="22"/>
          <w:szCs w:val="22"/>
        </w:rPr>
        <w:t>refleja fielmente el estado real del sistema</w:t>
      </w:r>
      <w:r>
        <w:rPr>
          <w:rFonts w:ascii="Calibri" w:hAnsi="Calibri" w:cs="Calibri"/>
          <w:sz w:val="22"/>
          <w:szCs w:val="22"/>
        </w:rPr>
        <w:t>, identifica con precisión las obligaciones que subsisten y establece para cada una un mecanismo y un plazo de cumplimiento.</w:t>
      </w:r>
    </w:p>
    <w:p w14:paraId="25E6564C" w14:textId="77777777" w:rsidR="008D269C" w:rsidRDefault="008D269C">
      <w:pPr>
        <w:pStyle w:val="NormalWeb"/>
        <w:jc w:val="both"/>
        <w:rPr>
          <w:rFonts w:ascii="Calibri" w:hAnsi="Calibri" w:cs="Calibri"/>
          <w:sz w:val="22"/>
          <w:szCs w:val="22"/>
        </w:rPr>
      </w:pPr>
      <w:r>
        <w:rPr>
          <w:rFonts w:ascii="Calibri" w:hAnsi="Calibri" w:cs="Calibri"/>
          <w:sz w:val="22"/>
          <w:szCs w:val="22"/>
        </w:rPr>
        <w:t>5.4. La suscripción se produce dentro del plazo de ejecución extendido por el Adendum, que vence el 16 de septiembre de 2026.</w:t>
      </w:r>
    </w:p>
    <w:p w14:paraId="10896AF8" w14:textId="77777777" w:rsidR="008D269C" w:rsidRDefault="008D269C">
      <w:pPr>
        <w:pStyle w:val="Ttulo2"/>
        <w:rPr>
          <w:rFonts w:eastAsia="Times New Roman"/>
        </w:rPr>
      </w:pPr>
      <w:r>
        <w:rPr>
          <w:rFonts w:eastAsia="Times New Roman"/>
        </w:rPr>
        <w:t>6. Recomendaciones</w:t>
      </w:r>
    </w:p>
    <w:p w14:paraId="02D958E8"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6.1. </w:t>
      </w:r>
      <w:r>
        <w:rPr>
          <w:rFonts w:ascii="Calibri" w:hAnsi="Calibri" w:cs="Calibri"/>
          <w:b/>
          <w:bCs/>
          <w:sz w:val="22"/>
          <w:szCs w:val="22"/>
        </w:rPr>
        <w:t>Recomiendo a Gerencia la suscripción del Acta de Entrega-Recepción Definitiva del Sistema SAA</w:t>
      </w:r>
      <w:r>
        <w:rPr>
          <w:rFonts w:ascii="Calibri" w:hAnsi="Calibri" w:cs="Calibri"/>
          <w:sz w:val="22"/>
          <w:szCs w:val="22"/>
        </w:rPr>
        <w:t xml:space="preserve"> con GAEMII NEXUS S.A.S., por encontrarse cumplido el objeto contractual.</w:t>
      </w:r>
    </w:p>
    <w:p w14:paraId="67346138" w14:textId="77777777" w:rsidR="008D269C" w:rsidRDefault="008D269C">
      <w:pPr>
        <w:pStyle w:val="NormalWeb"/>
        <w:jc w:val="both"/>
        <w:rPr>
          <w:rFonts w:ascii="Calibri" w:hAnsi="Calibri" w:cs="Calibri"/>
          <w:sz w:val="22"/>
          <w:szCs w:val="22"/>
        </w:rPr>
      </w:pPr>
      <w:r>
        <w:rPr>
          <w:rFonts w:ascii="Calibri" w:hAnsi="Calibri" w:cs="Calibri"/>
          <w:sz w:val="22"/>
          <w:szCs w:val="22"/>
        </w:rPr>
        <w:t>6.2. Recomiendo que, en consecuencia, se proceda al pago del saldo del tercer y último pago, por USD 23.016,00 neto deducido impuestos, en los términos de la cláusula Décima Primera del Acta y dentro del plazo previsto en la cláusula Décima Primera del Contrato.</w:t>
      </w:r>
    </w:p>
    <w:p w14:paraId="5F82903D" w14:textId="77777777" w:rsidR="008D269C" w:rsidRDefault="008D269C">
      <w:pPr>
        <w:pStyle w:val="NormalWeb"/>
        <w:jc w:val="both"/>
        <w:rPr>
          <w:rFonts w:ascii="Calibri" w:hAnsi="Calibri" w:cs="Calibri"/>
          <w:sz w:val="22"/>
          <w:szCs w:val="22"/>
        </w:rPr>
      </w:pPr>
      <w:r>
        <w:rPr>
          <w:rFonts w:ascii="Calibri" w:hAnsi="Calibri" w:cs="Calibri"/>
          <w:sz w:val="22"/>
          <w:szCs w:val="22"/>
        </w:rPr>
        <w:t xml:space="preserve">6.3. Recomiendo que Gerencia </w:t>
      </w:r>
      <w:r>
        <w:rPr>
          <w:rFonts w:ascii="Calibri" w:hAnsi="Calibri" w:cs="Calibri"/>
          <w:b/>
          <w:bCs/>
          <w:sz w:val="22"/>
          <w:szCs w:val="22"/>
        </w:rPr>
        <w:t>disponga a las jefaturas de área la entrega de sus matrices de roles y permisos</w:t>
      </w:r>
      <w:r>
        <w:rPr>
          <w:rFonts w:ascii="Calibri" w:hAnsi="Calibri" w:cs="Calibri"/>
          <w:sz w:val="22"/>
          <w:szCs w:val="22"/>
        </w:rPr>
        <w:t xml:space="preserve"> </w:t>
      </w:r>
      <w:r>
        <w:rPr>
          <w:rFonts w:ascii="Calibri" w:hAnsi="Calibri" w:cs="Calibri"/>
          <w:sz w:val="22"/>
          <w:szCs w:val="22"/>
        </w:rPr>
        <w:t>en un plazo determinado, a fin de habilitar la activación de perfiles prevista en la cláusula Octava del Acta dentro del período de garantía.</w:t>
      </w:r>
    </w:p>
    <w:p w14:paraId="2EE45E69" w14:textId="77777777" w:rsidR="008D269C" w:rsidRDefault="008D269C">
      <w:pPr>
        <w:pStyle w:val="NormalWeb"/>
        <w:jc w:val="both"/>
        <w:rPr>
          <w:rFonts w:ascii="Calibri" w:hAnsi="Calibri" w:cs="Calibri"/>
          <w:sz w:val="22"/>
          <w:szCs w:val="22"/>
        </w:rPr>
      </w:pPr>
      <w:r>
        <w:rPr>
          <w:rFonts w:ascii="Calibri" w:hAnsi="Calibri" w:cs="Calibri"/>
          <w:sz w:val="22"/>
          <w:szCs w:val="22"/>
        </w:rPr>
        <w:t>6.4. Esta Jefatura asumirá el seguimiento de las obligaciones subsistentes, la canalización de las observaciones que las áreas detecten durante la garantía y la coordinación de las revisiones mensuales conjuntas previstas en la cláusula Décima del Acta, e informará periódicamente a Gerencia sobre su avance.</w:t>
      </w:r>
    </w:p>
    <w:p w14:paraId="0A06AB5A" w14:textId="77777777" w:rsidR="008D269C" w:rsidRDefault="008D269C">
      <w:pPr>
        <w:spacing w:before="280" w:after="280"/>
        <w:jc w:val="both"/>
        <w:rPr>
          <w:rFonts w:ascii="Calibri" w:eastAsia="Times New Roman" w:hAnsi="Calibri" w:cs="Calibri"/>
          <w:sz w:val="22"/>
          <w:szCs w:val="22"/>
        </w:rPr>
      </w:pPr>
      <w:r>
        <w:rPr>
          <w:rFonts w:ascii="Calibri" w:eastAsia="Times New Roman" w:hAnsi="Calibri" w:cs="Calibri"/>
          <w:sz w:val="22"/>
          <w:szCs w:val="22"/>
        </w:rPr>
        <w:pict w14:anchorId="28F056CB">
          <v:rect id="_x0000_i1026" style="width:0;height:1.5pt" o:hralign="center" o:hrstd="t" o:hr="t" fillcolor="#a0a0a0" stroked="f"/>
        </w:pict>
      </w:r>
    </w:p>
    <w:p w14:paraId="3CE860EE" w14:textId="77777777" w:rsidR="008D269C" w:rsidRDefault="008D269C">
      <w:pPr>
        <w:pStyle w:val="NormalWeb"/>
        <w:jc w:val="both"/>
        <w:rPr>
          <w:rFonts w:ascii="Calibri" w:hAnsi="Calibri" w:cs="Calibri"/>
          <w:sz w:val="22"/>
          <w:szCs w:val="22"/>
        </w:rPr>
      </w:pPr>
      <w:r>
        <w:rPr>
          <w:rFonts w:ascii="Calibri" w:hAnsi="Calibri" w:cs="Calibri"/>
          <w:sz w:val="22"/>
          <w:szCs w:val="22"/>
        </w:rPr>
        <w:t>Particular que informo para los fines pertinentes.</w:t>
      </w:r>
    </w:p>
    <w:p w14:paraId="39DB5E02" w14:textId="77777777" w:rsidR="008D269C" w:rsidRDefault="008D269C">
      <w:pPr>
        <w:pStyle w:val="NormalWeb"/>
        <w:jc w:val="both"/>
        <w:rPr>
          <w:rFonts w:ascii="Calibri" w:hAnsi="Calibri" w:cs="Calibri"/>
          <w:sz w:val="22"/>
          <w:szCs w:val="22"/>
        </w:rPr>
      </w:pPr>
      <w:r>
        <w:rPr>
          <w:rFonts w:ascii="Calibri" w:hAnsi="Calibri" w:cs="Calibri"/>
          <w:sz w:val="22"/>
          <w:szCs w:val="22"/>
        </w:rPr>
        <w:t>Atentamente,</w:t>
      </w:r>
    </w:p>
    <w:p w14:paraId="2FB23A82" w14:textId="77777777" w:rsidR="008D269C" w:rsidRDefault="008D269C">
      <w:pPr>
        <w:pStyle w:val="linea"/>
        <w:rPr>
          <w:rFonts w:ascii="Calibri" w:hAnsi="Calibri" w:cs="Calibri"/>
          <w:sz w:val="22"/>
          <w:szCs w:val="22"/>
        </w:rPr>
      </w:pPr>
      <w:r>
        <w:rPr>
          <w:rFonts w:ascii="Calibri" w:hAnsi="Calibri" w:cs="Calibri"/>
          <w:sz w:val="22"/>
          <w:szCs w:val="22"/>
        </w:rPr>
        <w:t>_______________________________</w:t>
      </w:r>
    </w:p>
    <w:p w14:paraId="637B6783" w14:textId="77777777" w:rsidR="008D269C" w:rsidRDefault="008D269C">
      <w:pPr>
        <w:pStyle w:val="firma"/>
        <w:rPr>
          <w:rFonts w:ascii="Calibri" w:hAnsi="Calibri" w:cs="Calibri"/>
          <w:sz w:val="22"/>
          <w:szCs w:val="22"/>
        </w:rPr>
      </w:pPr>
      <w:r>
        <w:rPr>
          <w:rFonts w:ascii="Calibri" w:hAnsi="Calibri" w:cs="Calibri"/>
          <w:b/>
          <w:bCs/>
          <w:sz w:val="22"/>
          <w:szCs w:val="22"/>
        </w:rPr>
        <w:t>Ing. Paúl Manosalvas</w:t>
      </w:r>
    </w:p>
    <w:p w14:paraId="103F0813" w14:textId="77777777" w:rsidR="008D269C" w:rsidRDefault="008D269C">
      <w:pPr>
        <w:pStyle w:val="firma"/>
        <w:rPr>
          <w:rFonts w:ascii="Calibri" w:hAnsi="Calibri" w:cs="Calibri"/>
          <w:sz w:val="22"/>
          <w:szCs w:val="22"/>
        </w:rPr>
      </w:pPr>
      <w:r>
        <w:rPr>
          <w:rFonts w:ascii="Calibri" w:hAnsi="Calibri" w:cs="Calibri"/>
          <w:sz w:val="22"/>
          <w:szCs w:val="22"/>
        </w:rPr>
        <w:t>Jefe de Sistemas</w:t>
      </w:r>
    </w:p>
    <w:p w14:paraId="5D258190" w14:textId="77777777" w:rsidR="008D269C" w:rsidRDefault="008D269C">
      <w:pPr>
        <w:pStyle w:val="firma"/>
        <w:rPr>
          <w:rFonts w:ascii="Calibri" w:hAnsi="Calibri" w:cs="Calibri"/>
          <w:sz w:val="22"/>
          <w:szCs w:val="22"/>
        </w:rPr>
      </w:pPr>
      <w:r>
        <w:rPr>
          <w:rFonts w:ascii="Calibri" w:hAnsi="Calibri" w:cs="Calibri"/>
          <w:sz w:val="22"/>
          <w:szCs w:val="22"/>
        </w:rPr>
        <w:t>ASOPREP-FCPC</w:t>
      </w:r>
    </w:p>
    <w:sectPr w:rsidR="008D269C" w:rsidSect="00C80FC6">
      <w:headerReference w:type="even" r:id="rId6"/>
      <w:headerReference w:type="default" r:id="rId7"/>
      <w:footerReference w:type="even" r:id="rId8"/>
      <w:footerReference w:type="default" r:id="rId9"/>
      <w:headerReference w:type="first" r:id="rId10"/>
      <w:footerReference w:type="first" r:id="rId11"/>
      <w:pgSz w:w="11906" w:h="16838"/>
      <w:pgMar w:top="1440" w:right="1580" w:bottom="1440" w:left="15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CC2C" w14:textId="77777777" w:rsidR="008D269C" w:rsidRDefault="008D269C" w:rsidP="00C80FC6">
      <w:r>
        <w:separator/>
      </w:r>
    </w:p>
  </w:endnote>
  <w:endnote w:type="continuationSeparator" w:id="0">
    <w:p w14:paraId="5C211738" w14:textId="77777777" w:rsidR="008D269C" w:rsidRDefault="008D269C" w:rsidP="00C80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54CB" w14:textId="77777777" w:rsidR="00C80FC6" w:rsidRDefault="00C80FC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A744" w14:textId="200B25C8" w:rsidR="00C80FC6" w:rsidRPr="00C80FC6" w:rsidRDefault="00C80FC6" w:rsidP="00C80FC6">
    <w:pPr>
      <w:pStyle w:val="Piedepgina"/>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6A8F" w14:textId="77777777" w:rsidR="00C80FC6" w:rsidRDefault="00C80F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576B" w14:textId="77777777" w:rsidR="008D269C" w:rsidRDefault="008D269C" w:rsidP="00C80FC6">
      <w:r>
        <w:separator/>
      </w:r>
    </w:p>
  </w:footnote>
  <w:footnote w:type="continuationSeparator" w:id="0">
    <w:p w14:paraId="4F3CE33F" w14:textId="77777777" w:rsidR="008D269C" w:rsidRDefault="008D269C" w:rsidP="00C80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ED0" w14:textId="77777777" w:rsidR="00C80FC6" w:rsidRDefault="00C80FC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D24E" w14:textId="77777777" w:rsidR="00C80FC6" w:rsidRDefault="00C80FC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DD3B" w14:textId="77777777" w:rsidR="00C80FC6" w:rsidRDefault="00C80FC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0FC6"/>
    <w:rsid w:val="008D269C"/>
    <w:rsid w:val="00C0314D"/>
    <w:rsid w:val="00C80FC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41022"/>
  <w15:chartTrackingRefBased/>
  <w15:docId w15:val="{49283ED6-ACD4-4F83-8734-168A50F0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360"/>
      <w:jc w:val="center"/>
      <w:outlineLvl w:val="0"/>
    </w:pPr>
    <w:rPr>
      <w:rFonts w:ascii="Calibri" w:hAnsi="Calibri" w:cs="Calibri"/>
      <w:b/>
      <w:bCs/>
      <w:caps/>
      <w:kern w:val="36"/>
      <w:sz w:val="28"/>
      <w:szCs w:val="28"/>
    </w:rPr>
  </w:style>
  <w:style w:type="paragraph" w:styleId="Ttulo2">
    <w:name w:val="heading 2"/>
    <w:basedOn w:val="Normal"/>
    <w:link w:val="Ttulo2Car"/>
    <w:uiPriority w:val="9"/>
    <w:qFormat/>
    <w:pPr>
      <w:spacing w:before="320" w:after="140"/>
      <w:outlineLvl w:val="1"/>
    </w:pPr>
    <w:rPr>
      <w:rFonts w:ascii="Calibri" w:hAnsi="Calibri" w:cs="Calibri"/>
      <w:b/>
      <w:bCs/>
      <w:cap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firma">
    <w:name w:val="firma"/>
    <w:basedOn w:val="Normal"/>
    <w:pPr>
      <w:jc w:val="center"/>
    </w:pPr>
  </w:style>
  <w:style w:type="paragraph" w:customStyle="1" w:styleId="linea">
    <w:name w:val="linea"/>
    <w:basedOn w:val="Normal"/>
    <w:pPr>
      <w:spacing w:before="680" w:after="40"/>
      <w:jc w:val="center"/>
    </w:pPr>
  </w:style>
  <w:style w:type="paragraph" w:styleId="Encabezado">
    <w:name w:val="header"/>
    <w:basedOn w:val="Normal"/>
    <w:link w:val="EncabezadoCar"/>
    <w:uiPriority w:val="99"/>
    <w:unhideWhenUsed/>
    <w:rsid w:val="00C80FC6"/>
    <w:pPr>
      <w:tabs>
        <w:tab w:val="center" w:pos="4252"/>
        <w:tab w:val="right" w:pos="8504"/>
      </w:tabs>
    </w:pPr>
  </w:style>
  <w:style w:type="character" w:customStyle="1" w:styleId="EncabezadoCar">
    <w:name w:val="Encabezado Car"/>
    <w:basedOn w:val="Fuentedeprrafopredeter"/>
    <w:link w:val="Encabezado"/>
    <w:uiPriority w:val="99"/>
    <w:rsid w:val="00C80FC6"/>
    <w:rPr>
      <w:rFonts w:eastAsiaTheme="minorEastAsia"/>
      <w:sz w:val="24"/>
      <w:szCs w:val="24"/>
    </w:rPr>
  </w:style>
  <w:style w:type="paragraph" w:styleId="Piedepgina">
    <w:name w:val="footer"/>
    <w:basedOn w:val="Normal"/>
    <w:link w:val="PiedepginaCar"/>
    <w:uiPriority w:val="99"/>
    <w:unhideWhenUsed/>
    <w:rsid w:val="00C80FC6"/>
    <w:pPr>
      <w:tabs>
        <w:tab w:val="center" w:pos="4252"/>
        <w:tab w:val="right" w:pos="8504"/>
      </w:tabs>
    </w:pPr>
  </w:style>
  <w:style w:type="character" w:customStyle="1" w:styleId="PiedepginaCar">
    <w:name w:val="Pie de página Car"/>
    <w:basedOn w:val="Fuentedeprrafopredeter"/>
    <w:link w:val="Piedepgina"/>
    <w:uiPriority w:val="99"/>
    <w:rsid w:val="00C80FC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781461">
      <w:marLeft w:val="440"/>
      <w:marRight w:val="0"/>
      <w:marTop w:val="180"/>
      <w:marBottom w:val="200"/>
      <w:divBdr>
        <w:top w:val="none" w:sz="0" w:space="0" w:color="auto"/>
        <w:left w:val="single" w:sz="24" w:space="11" w:color="808080"/>
        <w:bottom w:val="none" w:sz="0" w:space="0" w:color="auto"/>
        <w:right w:val="none" w:sz="0" w:space="0" w:color="auto"/>
      </w:divBdr>
    </w:div>
    <w:div w:id="1528443120">
      <w:marLeft w:val="440"/>
      <w:marRight w:val="0"/>
      <w:marTop w:val="180"/>
      <w:marBottom w:val="200"/>
      <w:divBdr>
        <w:top w:val="none" w:sz="0" w:space="0" w:color="auto"/>
        <w:left w:val="single" w:sz="24" w:space="11" w:color="80808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1413</Words>
  <Characters>7772</Characters>
  <Application>Microsoft Office Word</Application>
  <DocSecurity>0</DocSecurity>
  <Lines>64</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Validación Técnica</dc:title>
  <dc:subject/>
  <dc:creator>Mike</dc:creator>
  <cp:keywords/>
  <dc:description/>
  <cp:lastModifiedBy>Mike</cp:lastModifiedBy>
  <cp:revision>2</cp:revision>
  <dcterms:created xsi:type="dcterms:W3CDTF">2026-09-14T20:48:00Z</dcterms:created>
  <dcterms:modified xsi:type="dcterms:W3CDTF">2026-09-14T20:48:00Z</dcterms:modified>
</cp:coreProperties>
</file>