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92F1B0" w14:textId="77777777" w:rsidR="0089198E" w:rsidRDefault="0089198E">
      <w:pPr>
        <w:pStyle w:val="Ttulo1"/>
        <w:rPr>
          <w:rFonts w:eastAsia="Times New Roman" w:cs="Calibri"/>
        </w:rPr>
      </w:pPr>
      <w:r>
        <w:rPr>
          <w:rFonts w:eastAsia="Times New Roman" w:cs="Calibri"/>
        </w:rPr>
        <w:t>Nómina 2026: carga histórica concluida y habilitación de agosto</w:t>
      </w:r>
    </w:p>
    <w:p w14:paraId="434EE503" w14:textId="77777777" w:rsidR="0089198E" w:rsidRDefault="0089198E">
      <w:pPr>
        <w:pStyle w:val="sub"/>
        <w:spacing w:before="0" w:beforeAutospacing="0"/>
        <w:jc w:val="both"/>
        <w:rPr>
          <w:rFonts w:cs="Calibri"/>
        </w:rPr>
      </w:pPr>
      <w:r>
        <w:rPr>
          <w:rFonts w:cs="Calibri"/>
        </w:rPr>
        <w:t>Los períodos de enero a julio de 2026 se encuentran cargados, calculados y cerrados en el ambiente de producción. El período de agosto queda creado y configurado para generar contabilidad. Este documento describe qué contiene el sistema, cómo se validó, qué diferencias subsisten y por qué, y cuál es el procedimiento a seguir.</w:t>
      </w:r>
    </w:p>
    <w:tbl>
      <w:tblPr>
        <w:tblW w:w="5000" w:type="pct"/>
        <w:tblCellMar>
          <w:top w:w="15" w:type="dxa"/>
          <w:left w:w="15" w:type="dxa"/>
          <w:bottom w:w="15" w:type="dxa"/>
          <w:right w:w="15" w:type="dxa"/>
        </w:tblCellMar>
        <w:tblLook w:val="04A0" w:firstRow="1" w:lastRow="0" w:firstColumn="1" w:lastColumn="0" w:noHBand="0" w:noVBand="1"/>
      </w:tblPr>
      <w:tblGrid>
        <w:gridCol w:w="2268"/>
        <w:gridCol w:w="6236"/>
      </w:tblGrid>
      <w:tr w:rsidR="00000000" w14:paraId="74399E23" w14:textId="77777777">
        <w:tc>
          <w:tcPr>
            <w:tcW w:w="2268" w:type="dxa"/>
            <w:tcBorders>
              <w:top w:val="nil"/>
              <w:left w:val="nil"/>
              <w:bottom w:val="nil"/>
              <w:right w:val="nil"/>
            </w:tcBorders>
            <w:tcMar>
              <w:top w:w="40" w:type="dxa"/>
              <w:left w:w="0" w:type="dxa"/>
              <w:bottom w:w="40" w:type="dxa"/>
              <w:right w:w="200" w:type="dxa"/>
            </w:tcMar>
            <w:hideMark/>
          </w:tcPr>
          <w:p w14:paraId="44B46DE5" w14:textId="77777777" w:rsidR="0089198E" w:rsidRDefault="0089198E">
            <w:pPr>
              <w:spacing w:before="80" w:after="240"/>
              <w:rPr>
                <w:rFonts w:ascii="Calibri" w:eastAsia="Times New Roman" w:hAnsi="Calibri" w:cs="Calibri"/>
                <w:color w:val="5F7178"/>
                <w:sz w:val="20"/>
                <w:szCs w:val="20"/>
              </w:rPr>
            </w:pPr>
            <w:r>
              <w:rPr>
                <w:rFonts w:ascii="Calibri" w:eastAsia="Times New Roman" w:hAnsi="Calibri" w:cs="Calibri"/>
                <w:color w:val="5F7178"/>
                <w:sz w:val="20"/>
                <w:szCs w:val="20"/>
              </w:rPr>
              <w:t>Dirigido a</w:t>
            </w:r>
          </w:p>
        </w:tc>
        <w:tc>
          <w:tcPr>
            <w:tcW w:w="0" w:type="auto"/>
            <w:tcBorders>
              <w:top w:val="nil"/>
              <w:left w:val="nil"/>
              <w:bottom w:val="nil"/>
              <w:right w:val="nil"/>
            </w:tcBorders>
            <w:tcMar>
              <w:top w:w="40" w:type="dxa"/>
              <w:left w:w="0" w:type="dxa"/>
              <w:bottom w:w="40" w:type="dxa"/>
              <w:right w:w="200" w:type="dxa"/>
            </w:tcMar>
            <w:hideMark/>
          </w:tcPr>
          <w:p w14:paraId="58E8C0CF"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Contabilidad ASOPREP-FCPC</w:t>
            </w:r>
          </w:p>
        </w:tc>
      </w:tr>
      <w:tr w:rsidR="00000000" w14:paraId="053D241C" w14:textId="77777777">
        <w:tc>
          <w:tcPr>
            <w:tcW w:w="2268" w:type="dxa"/>
            <w:tcBorders>
              <w:top w:val="nil"/>
              <w:left w:val="nil"/>
              <w:bottom w:val="nil"/>
              <w:right w:val="nil"/>
            </w:tcBorders>
            <w:tcMar>
              <w:top w:w="40" w:type="dxa"/>
              <w:left w:w="0" w:type="dxa"/>
              <w:bottom w:w="40" w:type="dxa"/>
              <w:right w:w="200" w:type="dxa"/>
            </w:tcMar>
            <w:hideMark/>
          </w:tcPr>
          <w:p w14:paraId="617495DB" w14:textId="77777777" w:rsidR="0089198E" w:rsidRDefault="0089198E">
            <w:pPr>
              <w:spacing w:before="80" w:after="240"/>
              <w:rPr>
                <w:rFonts w:ascii="Calibri" w:eastAsia="Times New Roman" w:hAnsi="Calibri" w:cs="Calibri"/>
                <w:color w:val="5F7178"/>
                <w:sz w:val="20"/>
                <w:szCs w:val="20"/>
              </w:rPr>
            </w:pPr>
            <w:r>
              <w:rPr>
                <w:rFonts w:ascii="Calibri" w:eastAsia="Times New Roman" w:hAnsi="Calibri" w:cs="Calibri"/>
                <w:color w:val="5F7178"/>
                <w:sz w:val="20"/>
                <w:szCs w:val="20"/>
              </w:rPr>
              <w:t>Fecha</w:t>
            </w:r>
          </w:p>
        </w:tc>
        <w:tc>
          <w:tcPr>
            <w:tcW w:w="0" w:type="auto"/>
            <w:tcBorders>
              <w:top w:val="nil"/>
              <w:left w:val="nil"/>
              <w:bottom w:val="nil"/>
              <w:right w:val="nil"/>
            </w:tcBorders>
            <w:tcMar>
              <w:top w:w="40" w:type="dxa"/>
              <w:left w:w="0" w:type="dxa"/>
              <w:bottom w:w="40" w:type="dxa"/>
              <w:right w:w="200" w:type="dxa"/>
            </w:tcMar>
            <w:hideMark/>
          </w:tcPr>
          <w:p w14:paraId="50A5D73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25 de agosto de 2026</w:t>
            </w:r>
          </w:p>
        </w:tc>
      </w:tr>
      <w:tr w:rsidR="00000000" w14:paraId="37265D1C" w14:textId="77777777">
        <w:tc>
          <w:tcPr>
            <w:tcW w:w="2268" w:type="dxa"/>
            <w:tcBorders>
              <w:top w:val="nil"/>
              <w:left w:val="nil"/>
              <w:bottom w:val="nil"/>
              <w:right w:val="nil"/>
            </w:tcBorders>
            <w:tcMar>
              <w:top w:w="40" w:type="dxa"/>
              <w:left w:w="0" w:type="dxa"/>
              <w:bottom w:w="40" w:type="dxa"/>
              <w:right w:w="200" w:type="dxa"/>
            </w:tcMar>
            <w:hideMark/>
          </w:tcPr>
          <w:p w14:paraId="159EE738" w14:textId="77777777" w:rsidR="0089198E" w:rsidRDefault="0089198E">
            <w:pPr>
              <w:spacing w:before="80" w:after="240"/>
              <w:rPr>
                <w:rFonts w:ascii="Calibri" w:eastAsia="Times New Roman" w:hAnsi="Calibri" w:cs="Calibri"/>
                <w:color w:val="5F7178"/>
                <w:sz w:val="20"/>
                <w:szCs w:val="20"/>
              </w:rPr>
            </w:pPr>
            <w:r>
              <w:rPr>
                <w:rFonts w:ascii="Calibri" w:eastAsia="Times New Roman" w:hAnsi="Calibri" w:cs="Calibri"/>
                <w:color w:val="5F7178"/>
                <w:sz w:val="20"/>
                <w:szCs w:val="20"/>
              </w:rPr>
              <w:t>Ambiente</w:t>
            </w:r>
          </w:p>
        </w:tc>
        <w:tc>
          <w:tcPr>
            <w:tcW w:w="0" w:type="auto"/>
            <w:tcBorders>
              <w:top w:val="nil"/>
              <w:left w:val="nil"/>
              <w:bottom w:val="nil"/>
              <w:right w:val="nil"/>
            </w:tcBorders>
            <w:tcMar>
              <w:top w:w="40" w:type="dxa"/>
              <w:left w:w="0" w:type="dxa"/>
              <w:bottom w:w="40" w:type="dxa"/>
              <w:right w:w="200" w:type="dxa"/>
            </w:tcMar>
            <w:hideMark/>
          </w:tcPr>
          <w:p w14:paraId="0C1906CB"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Producción</w:t>
            </w:r>
          </w:p>
        </w:tc>
      </w:tr>
      <w:tr w:rsidR="00000000" w14:paraId="636EB0B3" w14:textId="77777777">
        <w:tc>
          <w:tcPr>
            <w:tcW w:w="2268" w:type="dxa"/>
            <w:tcBorders>
              <w:top w:val="nil"/>
              <w:left w:val="nil"/>
              <w:bottom w:val="nil"/>
              <w:right w:val="nil"/>
            </w:tcBorders>
            <w:tcMar>
              <w:top w:w="40" w:type="dxa"/>
              <w:left w:w="0" w:type="dxa"/>
              <w:bottom w:w="40" w:type="dxa"/>
              <w:right w:w="200" w:type="dxa"/>
            </w:tcMar>
            <w:hideMark/>
          </w:tcPr>
          <w:p w14:paraId="55CEB9F6" w14:textId="77777777" w:rsidR="0089198E" w:rsidRDefault="0089198E">
            <w:pPr>
              <w:spacing w:before="80" w:after="240"/>
              <w:rPr>
                <w:rFonts w:ascii="Calibri" w:eastAsia="Times New Roman" w:hAnsi="Calibri" w:cs="Calibri"/>
                <w:color w:val="5F7178"/>
                <w:sz w:val="20"/>
                <w:szCs w:val="20"/>
              </w:rPr>
            </w:pPr>
            <w:r>
              <w:rPr>
                <w:rFonts w:ascii="Calibri" w:eastAsia="Times New Roman" w:hAnsi="Calibri" w:cs="Calibri"/>
                <w:color w:val="5F7178"/>
                <w:sz w:val="20"/>
                <w:szCs w:val="20"/>
              </w:rPr>
              <w:t>Períodos cerrados</w:t>
            </w:r>
          </w:p>
        </w:tc>
        <w:tc>
          <w:tcPr>
            <w:tcW w:w="0" w:type="auto"/>
            <w:tcBorders>
              <w:top w:val="nil"/>
              <w:left w:val="nil"/>
              <w:bottom w:val="nil"/>
              <w:right w:val="nil"/>
            </w:tcBorders>
            <w:tcMar>
              <w:top w:w="40" w:type="dxa"/>
              <w:left w:w="0" w:type="dxa"/>
              <w:bottom w:w="40" w:type="dxa"/>
              <w:right w:w="200" w:type="dxa"/>
            </w:tcMar>
            <w:hideMark/>
          </w:tcPr>
          <w:p w14:paraId="76C0F472"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Enero a julio de 2026</w:t>
            </w:r>
          </w:p>
        </w:tc>
      </w:tr>
      <w:tr w:rsidR="00000000" w14:paraId="251B038F" w14:textId="77777777">
        <w:tc>
          <w:tcPr>
            <w:tcW w:w="2268" w:type="dxa"/>
            <w:tcBorders>
              <w:top w:val="nil"/>
              <w:left w:val="nil"/>
              <w:bottom w:val="nil"/>
              <w:right w:val="nil"/>
            </w:tcBorders>
            <w:tcMar>
              <w:top w:w="40" w:type="dxa"/>
              <w:left w:w="0" w:type="dxa"/>
              <w:bottom w:w="40" w:type="dxa"/>
              <w:right w:w="200" w:type="dxa"/>
            </w:tcMar>
            <w:hideMark/>
          </w:tcPr>
          <w:p w14:paraId="287DA376" w14:textId="77777777" w:rsidR="0089198E" w:rsidRDefault="0089198E">
            <w:pPr>
              <w:spacing w:before="80" w:after="240"/>
              <w:rPr>
                <w:rFonts w:ascii="Calibri" w:eastAsia="Times New Roman" w:hAnsi="Calibri" w:cs="Calibri"/>
                <w:color w:val="5F7178"/>
                <w:sz w:val="20"/>
                <w:szCs w:val="20"/>
              </w:rPr>
            </w:pPr>
            <w:r>
              <w:rPr>
                <w:rFonts w:ascii="Calibri" w:eastAsia="Times New Roman" w:hAnsi="Calibri" w:cs="Calibri"/>
                <w:color w:val="5F7178"/>
                <w:sz w:val="20"/>
                <w:szCs w:val="20"/>
              </w:rPr>
              <w:t>Emitido por</w:t>
            </w:r>
          </w:p>
        </w:tc>
        <w:tc>
          <w:tcPr>
            <w:tcW w:w="0" w:type="auto"/>
            <w:tcBorders>
              <w:top w:val="nil"/>
              <w:left w:val="nil"/>
              <w:bottom w:val="nil"/>
              <w:right w:val="nil"/>
            </w:tcBorders>
            <w:tcMar>
              <w:top w:w="40" w:type="dxa"/>
              <w:left w:w="0" w:type="dxa"/>
              <w:bottom w:w="40" w:type="dxa"/>
              <w:right w:w="200" w:type="dxa"/>
            </w:tcMar>
            <w:hideMark/>
          </w:tcPr>
          <w:p w14:paraId="76F4B6F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Equipo de implementación del sistema</w:t>
            </w:r>
          </w:p>
        </w:tc>
      </w:tr>
    </w:tbl>
    <w:p w14:paraId="18644DDB" w14:textId="77777777" w:rsidR="0089198E" w:rsidRDefault="0089198E">
      <w:pPr>
        <w:pStyle w:val="Ttulo2"/>
        <w:rPr>
          <w:rFonts w:eastAsia="Times New Roman" w:cs="Calibri"/>
        </w:rPr>
      </w:pPr>
      <w:r>
        <w:rPr>
          <w:rFonts w:eastAsia="Times New Roman" w:cs="Calibri"/>
        </w:rPr>
        <w:t>1. Propósito de este documento</w:t>
      </w:r>
    </w:p>
    <w:p w14:paraId="5B0B9A48"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Durante las últimas semanas se cargó en el sistema la nómina correspondiente a los siete primeros meses del ejercicio 2026. Esa carga no consistió en transcribir los roles ya emitidos: cada mes fue calculado por el motor de nómina del sistema y luego contrastado, colaborador por colaborador y concepto por concepto, contra el rol efectivamente pagado y contra la planilla del IESS.</w:t>
      </w:r>
    </w:p>
    <w:p w14:paraId="672AA02F"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propósito de este informe es dejar constancia formal de tres cosas: qué quedó registrado, con qué grado de coincidencia respecto de lo pagado, y qué corresponde hacer a partir de agosto, que es el primer mes que el sistema procesará en régimen normal y con generación de asientos contables.</w:t>
      </w:r>
    </w:p>
    <w:p w14:paraId="695017B8" w14:textId="77777777" w:rsidR="0089198E" w:rsidRDefault="0089198E">
      <w:pPr>
        <w:pStyle w:val="Ttulo2"/>
        <w:rPr>
          <w:rFonts w:eastAsia="Times New Roman" w:cs="Calibri"/>
        </w:rPr>
      </w:pPr>
      <w:r>
        <w:rPr>
          <w:rFonts w:eastAsia="Times New Roman" w:cs="Calibri"/>
        </w:rPr>
        <w:t>2. Resultado de la carga histórica</w:t>
      </w:r>
    </w:p>
    <w:p w14:paraId="40AAD638"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Los siete períodos se encuentran en estado Cerrado. La columna «Diferencia» expresa la comparación entre el líquido calculado por el sistema y el líquido del rol pagado.</w:t>
      </w:r>
    </w:p>
    <w:tbl>
      <w:tblPr>
        <w:tblW w:w="5000" w:type="pct"/>
        <w:tblCellMar>
          <w:top w:w="15" w:type="dxa"/>
          <w:left w:w="15" w:type="dxa"/>
          <w:bottom w:w="15" w:type="dxa"/>
          <w:right w:w="15" w:type="dxa"/>
        </w:tblCellMar>
        <w:tblLook w:val="04A0" w:firstRow="1" w:lastRow="0" w:firstColumn="1" w:lastColumn="0" w:noHBand="0" w:noVBand="1"/>
      </w:tblPr>
      <w:tblGrid>
        <w:gridCol w:w="3292"/>
        <w:gridCol w:w="1724"/>
        <w:gridCol w:w="2184"/>
        <w:gridCol w:w="1294"/>
      </w:tblGrid>
      <w:tr w:rsidR="00000000" w14:paraId="19D273C2" w14:textId="77777777">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74E8FD27"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Período</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2944C711"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Colaboradores</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4E95A16E"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Líquido del sistema</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5D5ED306"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Diferencia</w:t>
            </w:r>
          </w:p>
        </w:tc>
      </w:tr>
      <w:tr w:rsidR="00000000" w14:paraId="271B6EBB"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9AFA681"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Enero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2937237"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22</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D91692C"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16 476,92</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E7C7183"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0,00</w:t>
            </w:r>
          </w:p>
        </w:tc>
      </w:tr>
      <w:tr w:rsidR="00000000" w14:paraId="71CA65EE"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273C1F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Febrero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DE600BF"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22</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BB76033"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17 525,11</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4F262F0"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0,00</w:t>
            </w:r>
          </w:p>
        </w:tc>
      </w:tr>
      <w:tr w:rsidR="00000000" w14:paraId="1BD17325"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CB54601"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Marzo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14B9FF4"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D443CC3"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17 591,12</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DDBFEFA"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0,00</w:t>
            </w:r>
          </w:p>
        </w:tc>
      </w:tr>
      <w:tr w:rsidR="00000000" w14:paraId="4B94698D"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D3B205E"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lastRenderedPageBreak/>
              <w:t>Abril</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0558C63"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CF7B4CB"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15 914,22</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5DF88EA"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0,00</w:t>
            </w:r>
          </w:p>
        </w:tc>
      </w:tr>
      <w:tr w:rsidR="00000000" w14:paraId="5C0B348D"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7A21952"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Mayo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0B22320"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CFA4F48"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16 035,21</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9C029A9"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0,00</w:t>
            </w:r>
          </w:p>
        </w:tc>
      </w:tr>
      <w:tr w:rsidR="00000000" w14:paraId="635C7138"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4EBDE5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Junio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7BC7BC7"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4E55D87"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15 772,84</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E41F4E3"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−44,60</w:t>
            </w:r>
          </w:p>
        </w:tc>
      </w:tr>
      <w:tr w:rsidR="00000000" w14:paraId="1BE8B271"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C70597E"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Julio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D26230C"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20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B1B48F8"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16 328,30</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0CB221E" w14:textId="77777777" w:rsidR="0089198E" w:rsidRDefault="0089198E">
            <w:pPr>
              <w:spacing w:before="80" w:after="240"/>
              <w:jc w:val="right"/>
              <w:rPr>
                <w:rFonts w:ascii="Calibri" w:eastAsia="Times New Roman" w:hAnsi="Calibri" w:cs="Calibri"/>
                <w:color w:val="1A1A1A"/>
                <w:sz w:val="20"/>
                <w:szCs w:val="20"/>
              </w:rPr>
            </w:pPr>
            <w:r>
              <w:rPr>
                <w:rFonts w:ascii="Calibri" w:eastAsia="Times New Roman" w:hAnsi="Calibri" w:cs="Calibri"/>
                <w:color w:val="1A1A1A"/>
                <w:sz w:val="20"/>
                <w:szCs w:val="20"/>
              </w:rPr>
              <w:t>+44,60</w:t>
            </w:r>
          </w:p>
        </w:tc>
      </w:tr>
      <w:tr w:rsidR="00000000" w14:paraId="6EE92E59" w14:textId="77777777">
        <w:tc>
          <w:tcPr>
            <w:tcW w:w="0" w:type="auto"/>
            <w:tcBorders>
              <w:top w:val="single" w:sz="4" w:space="0" w:color="C8D4D3"/>
              <w:left w:val="single" w:sz="4" w:space="0" w:color="C8D4D3"/>
              <w:bottom w:val="single" w:sz="4" w:space="0" w:color="C8D4D3"/>
              <w:right w:val="single" w:sz="4" w:space="0" w:color="C8D4D3"/>
            </w:tcBorders>
            <w:shd w:val="clear" w:color="auto" w:fill="F2F6F5"/>
            <w:tcMar>
              <w:top w:w="80" w:type="dxa"/>
              <w:left w:w="120" w:type="dxa"/>
              <w:bottom w:w="80" w:type="dxa"/>
              <w:right w:w="120" w:type="dxa"/>
            </w:tcMar>
            <w:hideMark/>
          </w:tcPr>
          <w:p w14:paraId="49124ED9" w14:textId="77777777" w:rsidR="0089198E" w:rsidRDefault="0089198E">
            <w:pPr>
              <w:spacing w:before="80" w:after="240"/>
              <w:rPr>
                <w:rFonts w:ascii="Calibri" w:eastAsia="Times New Roman" w:hAnsi="Calibri" w:cs="Calibri"/>
                <w:b/>
                <w:bCs/>
                <w:color w:val="1A1A1A"/>
                <w:sz w:val="20"/>
                <w:szCs w:val="20"/>
              </w:rPr>
            </w:pPr>
            <w:r>
              <w:rPr>
                <w:rFonts w:ascii="Calibri" w:eastAsia="Times New Roman" w:hAnsi="Calibri" w:cs="Calibri"/>
                <w:b/>
                <w:bCs/>
                <w:color w:val="1A1A1A"/>
                <w:sz w:val="20"/>
                <w:szCs w:val="20"/>
              </w:rPr>
              <w:t>Efecto acumulado del ejercicio</w:t>
            </w:r>
          </w:p>
        </w:tc>
        <w:tc>
          <w:tcPr>
            <w:tcW w:w="0" w:type="auto"/>
            <w:tcBorders>
              <w:top w:val="single" w:sz="4" w:space="0" w:color="C8D4D3"/>
              <w:left w:val="single" w:sz="4" w:space="0" w:color="C8D4D3"/>
              <w:bottom w:val="single" w:sz="4" w:space="0" w:color="C8D4D3"/>
              <w:right w:val="single" w:sz="4" w:space="0" w:color="C8D4D3"/>
            </w:tcBorders>
            <w:shd w:val="clear" w:color="auto" w:fill="F2F6F5"/>
            <w:tcMar>
              <w:top w:w="80" w:type="dxa"/>
              <w:left w:w="120" w:type="dxa"/>
              <w:bottom w:w="80" w:type="dxa"/>
              <w:right w:w="120" w:type="dxa"/>
            </w:tcMar>
            <w:hideMark/>
          </w:tcPr>
          <w:p w14:paraId="5E67C4B4" w14:textId="77777777" w:rsidR="0089198E" w:rsidRDefault="0089198E">
            <w:pPr>
              <w:spacing w:before="80" w:after="240"/>
              <w:rPr>
                <w:rFonts w:ascii="Calibri" w:eastAsia="Times New Roman" w:hAnsi="Calibri" w:cs="Calibri"/>
                <w:b/>
                <w:bCs/>
                <w:color w:val="1A1A1A"/>
                <w:sz w:val="20"/>
                <w:szCs w:val="20"/>
              </w:rPr>
            </w:pPr>
          </w:p>
        </w:tc>
        <w:tc>
          <w:tcPr>
            <w:tcW w:w="0" w:type="auto"/>
            <w:tcBorders>
              <w:top w:val="single" w:sz="4" w:space="0" w:color="C8D4D3"/>
              <w:left w:val="single" w:sz="4" w:space="0" w:color="C8D4D3"/>
              <w:bottom w:val="single" w:sz="4" w:space="0" w:color="C8D4D3"/>
              <w:right w:val="single" w:sz="4" w:space="0" w:color="C8D4D3"/>
            </w:tcBorders>
            <w:shd w:val="clear" w:color="auto" w:fill="F2F6F5"/>
            <w:tcMar>
              <w:top w:w="80" w:type="dxa"/>
              <w:left w:w="120" w:type="dxa"/>
              <w:bottom w:w="80" w:type="dxa"/>
              <w:right w:w="120" w:type="dxa"/>
            </w:tcMar>
            <w:hideMark/>
          </w:tcPr>
          <w:p w14:paraId="4DF2207B" w14:textId="77777777" w:rsidR="0089198E" w:rsidRDefault="0089198E">
            <w:pPr>
              <w:spacing w:before="80" w:after="240"/>
              <w:jc w:val="right"/>
              <w:rPr>
                <w:rFonts w:eastAsia="Times New Roman"/>
                <w:sz w:val="20"/>
                <w:szCs w:val="20"/>
              </w:rPr>
            </w:pPr>
          </w:p>
        </w:tc>
        <w:tc>
          <w:tcPr>
            <w:tcW w:w="0" w:type="auto"/>
            <w:tcBorders>
              <w:top w:val="single" w:sz="4" w:space="0" w:color="C8D4D3"/>
              <w:left w:val="single" w:sz="4" w:space="0" w:color="C8D4D3"/>
              <w:bottom w:val="single" w:sz="4" w:space="0" w:color="C8D4D3"/>
              <w:right w:val="single" w:sz="4" w:space="0" w:color="C8D4D3"/>
            </w:tcBorders>
            <w:shd w:val="clear" w:color="auto" w:fill="F2F6F5"/>
            <w:tcMar>
              <w:top w:w="80" w:type="dxa"/>
              <w:left w:w="120" w:type="dxa"/>
              <w:bottom w:w="80" w:type="dxa"/>
              <w:right w:w="120" w:type="dxa"/>
            </w:tcMar>
            <w:hideMark/>
          </w:tcPr>
          <w:p w14:paraId="5CD4E885" w14:textId="77777777" w:rsidR="0089198E" w:rsidRDefault="0089198E">
            <w:pPr>
              <w:spacing w:before="80" w:after="240"/>
              <w:jc w:val="right"/>
              <w:rPr>
                <w:rFonts w:ascii="Calibri" w:eastAsia="Times New Roman" w:hAnsi="Calibri" w:cs="Calibri"/>
                <w:b/>
                <w:bCs/>
                <w:color w:val="1A1A1A"/>
                <w:sz w:val="20"/>
                <w:szCs w:val="20"/>
              </w:rPr>
            </w:pPr>
            <w:r>
              <w:rPr>
                <w:rFonts w:ascii="Calibri" w:eastAsia="Times New Roman" w:hAnsi="Calibri" w:cs="Calibri"/>
                <w:b/>
                <w:bCs/>
                <w:color w:val="1A1A1A"/>
                <w:sz w:val="20"/>
                <w:szCs w:val="20"/>
              </w:rPr>
              <w:t>0,00</w:t>
            </w:r>
          </w:p>
        </w:tc>
      </w:tr>
    </w:tbl>
    <w:p w14:paraId="02A40C17"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Cinco de los siete meses coinciden exactamente con el rol pagado. Junio y julio presentan diferencias de igual magnitud y signo contrario, que se compensan íntegramente entre sí; el efecto sobre el ejercicio es nulo. La sección 4 explica su origen.</w:t>
      </w:r>
    </w:p>
    <w:p w14:paraId="6A70764A" w14:textId="77777777" w:rsidR="0089198E" w:rsidRDefault="0089198E">
      <w:pPr>
        <w:pStyle w:val="Ttulo2"/>
        <w:rPr>
          <w:rFonts w:eastAsia="Times New Roman" w:cs="Calibri"/>
        </w:rPr>
      </w:pPr>
      <w:r>
        <w:rPr>
          <w:rFonts w:eastAsia="Times New Roman" w:cs="Calibri"/>
        </w:rPr>
        <w:t>3. Método de validación empleado</w:t>
      </w:r>
    </w:p>
    <w:p w14:paraId="7776EDF7"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Cada período se sometió al mismo procedimiento antes de aprobarse:</w:t>
      </w:r>
    </w:p>
    <w:p w14:paraId="289421F4" w14:textId="77777777" w:rsidR="0089198E" w:rsidRDefault="0089198E">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Cálculo por el motor del sistema</w:t>
      </w:r>
      <w:r>
        <w:rPr>
          <w:rFonts w:ascii="Calibri" w:eastAsia="Times New Roman" w:hAnsi="Calibri" w:cs="Calibri"/>
          <w:color w:val="1A1A1A"/>
          <w:sz w:val="22"/>
          <w:szCs w:val="22"/>
        </w:rPr>
        <w:t>, a partir de las fichas de personal, los contratos y las novedades del mes, sin intervención manual sobre el resultado.</w:t>
      </w:r>
    </w:p>
    <w:p w14:paraId="55E765FB" w14:textId="77777777" w:rsidR="0089198E" w:rsidRDefault="0089198E">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Contraste por concepto</w:t>
      </w:r>
      <w:r>
        <w:rPr>
          <w:rFonts w:ascii="Calibri" w:eastAsia="Times New Roman" w:hAnsi="Calibri" w:cs="Calibri"/>
          <w:color w:val="1A1A1A"/>
          <w:sz w:val="22"/>
          <w:szCs w:val="22"/>
        </w:rPr>
        <w:t xml:space="preserve"> contra el rol pagado: se compara renglón a renglón —sueldo, aportes, décimos, fondos de reserva, préstamos, anticipos— y se listan únicamente las diferencias.</w:t>
      </w:r>
    </w:p>
    <w:p w14:paraId="29402DF2" w14:textId="77777777" w:rsidR="0089198E" w:rsidRDefault="0089198E">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Contraste por totales de cabecera</w:t>
      </w:r>
      <w:r>
        <w:rPr>
          <w:rFonts w:ascii="Calibri" w:eastAsia="Times New Roman" w:hAnsi="Calibri" w:cs="Calibri"/>
          <w:color w:val="1A1A1A"/>
          <w:sz w:val="22"/>
          <w:szCs w:val="22"/>
        </w:rPr>
        <w:t>: ingresos, descuentos y líquido de cada colaborador.</w:t>
      </w:r>
    </w:p>
    <w:p w14:paraId="1E2F55A3" w14:textId="77777777" w:rsidR="0089198E" w:rsidRDefault="0089198E">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Contraste contra la planilla del IESS</w:t>
      </w:r>
      <w:r>
        <w:rPr>
          <w:rFonts w:ascii="Calibri" w:eastAsia="Times New Roman" w:hAnsi="Calibri" w:cs="Calibri"/>
          <w:color w:val="1A1A1A"/>
          <w:sz w:val="22"/>
          <w:szCs w:val="22"/>
        </w:rPr>
        <w:t>, afiliado por afiliado. Este control es el de mayor valor probatorio, ya que la planilla la emite el Instituto y por tanto no puede compartir un error con nuestro sistema.</w:t>
      </w:r>
    </w:p>
    <w:p w14:paraId="18F514F3" w14:textId="77777777" w:rsidR="0089198E" w:rsidRDefault="0089198E">
      <w:pPr>
        <w:numPr>
          <w:ilvl w:val="0"/>
          <w:numId w:val="1"/>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Cierre</w:t>
      </w:r>
      <w:r>
        <w:rPr>
          <w:rFonts w:ascii="Calibri" w:eastAsia="Times New Roman" w:hAnsi="Calibri" w:cs="Calibri"/>
          <w:color w:val="1A1A1A"/>
          <w:sz w:val="22"/>
          <w:szCs w:val="22"/>
        </w:rPr>
        <w:t>, con generación de los acumulados anuales por colaborador.</w:t>
      </w:r>
    </w:p>
    <w:p w14:paraId="0D3173BD" w14:textId="77777777" w:rsidR="0089198E" w:rsidRDefault="0089198E">
      <w:pPr>
        <w:pStyle w:val="lab"/>
        <w:shd w:val="clear" w:color="auto" w:fill="EFF4F3"/>
        <w:spacing w:before="0" w:beforeAutospacing="0"/>
        <w:jc w:val="both"/>
        <w:divId w:val="1659188010"/>
        <w:rPr>
          <w:rFonts w:ascii="Calibri" w:hAnsi="Calibri" w:cs="Calibri"/>
        </w:rPr>
      </w:pPr>
      <w:r>
        <w:rPr>
          <w:rFonts w:ascii="Calibri" w:hAnsi="Calibri" w:cs="Calibri"/>
        </w:rPr>
        <w:t>Criterio aplicado</w:t>
      </w:r>
    </w:p>
    <w:p w14:paraId="3D31DBBF" w14:textId="77777777" w:rsidR="0089198E" w:rsidRDefault="0089198E">
      <w:pPr>
        <w:pStyle w:val="NormalWeb"/>
        <w:shd w:val="clear" w:color="auto" w:fill="EFF4F3"/>
        <w:divId w:val="1659188010"/>
        <w:rPr>
          <w:rFonts w:ascii="Calibri" w:hAnsi="Calibri" w:cs="Calibri"/>
          <w:color w:val="1A1A1A"/>
          <w:sz w:val="22"/>
          <w:szCs w:val="22"/>
        </w:rPr>
      </w:pPr>
      <w:r>
        <w:rPr>
          <w:rFonts w:ascii="Calibri" w:hAnsi="Calibri" w:cs="Calibri"/>
          <w:color w:val="1A1A1A"/>
          <w:sz w:val="22"/>
          <w:szCs w:val="22"/>
        </w:rPr>
        <w:t>El sistema se construyó para calcular conforme a la normativa. Los datos registrados, en cambio, deben reflejar lo efectivamente pagado. Cuando ambas cosas no coincidieron, se dejó constancia del cálculo normativo y a continuación se ajustó el dato para que corresponda al rol pagado y a la planilla presentada. El detalle de esos ajustes consta en la sección 4.</w:t>
      </w:r>
    </w:p>
    <w:p w14:paraId="3CC8102B" w14:textId="77777777" w:rsidR="0089198E" w:rsidRDefault="0089198E">
      <w:pPr>
        <w:pStyle w:val="Ttulo2"/>
        <w:rPr>
          <w:rFonts w:eastAsia="Times New Roman" w:cs="Calibri"/>
        </w:rPr>
      </w:pPr>
      <w:r>
        <w:rPr>
          <w:rFonts w:eastAsia="Times New Roman" w:cs="Calibri"/>
        </w:rPr>
        <w:t>4. Diferencias registradas y su explicación</w:t>
      </w:r>
    </w:p>
    <w:p w14:paraId="62211D08" w14:textId="77777777" w:rsidR="0089198E" w:rsidRDefault="0089198E">
      <w:pPr>
        <w:pStyle w:val="Ttulo3"/>
        <w:rPr>
          <w:rFonts w:eastAsia="Times New Roman"/>
        </w:rPr>
      </w:pPr>
      <w:r>
        <w:rPr>
          <w:rFonts w:eastAsia="Times New Roman"/>
        </w:rPr>
        <w:t>4.1 Fondos de reserva de junio y julio (44,60)</w:t>
      </w:r>
    </w:p>
    <w:p w14:paraId="2B63ACD3"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derecho al fondo de reserva nace a partir del decimotercer mes de servicio, computado desde la fecha de ingreso. En junio de 2026 cinco colaboradores cumplieron su primer año —cuatro el 25 y uno el 26— y el sistema liquidó el beneficio prorrateado desde la fecha de aniversario, conforme a la norma.</w:t>
      </w:r>
    </w:p>
    <w:p w14:paraId="29E9EA3A"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 xml:space="preserve">El rol emitido en junio pagó, en cambio, un día adicional a cada uno de ellos, por computarse el aniversario un día antes. Esa diferencia se detectó al elaborar la planilla y se recuperó en el rol </w:t>
      </w:r>
      <w:r>
        <w:rPr>
          <w:rFonts w:ascii="Calibri" w:hAnsi="Calibri" w:cs="Calibri"/>
          <w:color w:val="1A1A1A"/>
          <w:sz w:val="22"/>
          <w:szCs w:val="22"/>
        </w:rPr>
        <w:lastRenderedPageBreak/>
        <w:t>de julio mediante descuentos por 44,60. En consecuencia, el sistema registra en junio 44,60 menos y en julio 44,60 más que los roles respectivos, y ambos importes se anulan dentro del mismo ejercicio.</w:t>
      </w:r>
    </w:p>
    <w:p w14:paraId="0DCB892B" w14:textId="77777777" w:rsidR="0089198E" w:rsidRDefault="0089198E">
      <w:pPr>
        <w:pStyle w:val="Ttulo3"/>
        <w:rPr>
          <w:rFonts w:eastAsia="Times New Roman"/>
        </w:rPr>
      </w:pPr>
      <w:r>
        <w:rPr>
          <w:rFonts w:eastAsia="Times New Roman"/>
        </w:rPr>
        <w:t>4.2 Aportes personales de julio (13,18)</w:t>
      </w:r>
    </w:p>
    <w:p w14:paraId="5459DEC8" w14:textId="77777777" w:rsidR="0089198E" w:rsidRDefault="0089198E">
      <w:pPr>
        <w:pStyle w:val="lab"/>
        <w:shd w:val="clear" w:color="auto" w:fill="EFF4F3"/>
        <w:spacing w:before="0" w:beforeAutospacing="0"/>
        <w:jc w:val="both"/>
        <w:divId w:val="1813054398"/>
        <w:rPr>
          <w:rFonts w:ascii="Calibri" w:hAnsi="Calibri" w:cs="Calibri"/>
        </w:rPr>
      </w:pPr>
      <w:r>
        <w:rPr>
          <w:rFonts w:ascii="Calibri" w:hAnsi="Calibri" w:cs="Calibri"/>
        </w:rPr>
        <w:t>Requiere su atención</w:t>
      </w:r>
    </w:p>
    <w:p w14:paraId="16C48649" w14:textId="77777777" w:rsidR="0089198E" w:rsidRDefault="0089198E">
      <w:pPr>
        <w:pStyle w:val="NormalWeb"/>
        <w:shd w:val="clear" w:color="auto" w:fill="EFF4F3"/>
        <w:divId w:val="1813054398"/>
        <w:rPr>
          <w:rFonts w:ascii="Calibri" w:hAnsi="Calibri" w:cs="Calibri"/>
          <w:color w:val="1A1A1A"/>
          <w:sz w:val="22"/>
          <w:szCs w:val="22"/>
        </w:rPr>
      </w:pPr>
      <w:r>
        <w:rPr>
          <w:rFonts w:ascii="Calibri" w:hAnsi="Calibri" w:cs="Calibri"/>
          <w:color w:val="1A1A1A"/>
          <w:sz w:val="22"/>
          <w:szCs w:val="22"/>
        </w:rPr>
        <w:t>Tres colaboradores gozaron de vacaciones en julio. El rol calculó su aporte personal al IESS únicamente sobre los días efectivamente laborados, excluyendo la porción correspondiente a vacaciones. Conforme a la normativa, la remuneración por vacaciones integra la materia gravada, por lo que el aporte debió calcularse sobre la remuneración completa.</w:t>
      </w:r>
    </w:p>
    <w:p w14:paraId="0C605A04" w14:textId="77777777" w:rsidR="0089198E" w:rsidRDefault="0089198E">
      <w:pPr>
        <w:pStyle w:val="NormalWeb"/>
        <w:shd w:val="clear" w:color="auto" w:fill="EFF4F3"/>
        <w:divId w:val="1813054398"/>
        <w:rPr>
          <w:rFonts w:ascii="Calibri" w:hAnsi="Calibri" w:cs="Calibri"/>
          <w:color w:val="1A1A1A"/>
          <w:sz w:val="22"/>
          <w:szCs w:val="22"/>
        </w:rPr>
      </w:pPr>
      <w:r>
        <w:rPr>
          <w:rFonts w:ascii="Calibri" w:hAnsi="Calibri" w:cs="Calibri"/>
          <w:color w:val="1A1A1A"/>
          <w:sz w:val="22"/>
          <w:szCs w:val="22"/>
        </w:rPr>
        <w:t xml:space="preserve">Las diferencias son: </w:t>
      </w:r>
      <w:r>
        <w:rPr>
          <w:rFonts w:ascii="Calibri" w:hAnsi="Calibri" w:cs="Calibri"/>
          <w:b/>
          <w:bCs/>
          <w:color w:val="1A1A1A"/>
          <w:sz w:val="22"/>
          <w:szCs w:val="22"/>
        </w:rPr>
        <w:t>Caiza Remache 1,52 · Nieto Conde 2,84 · Pardo Calle 8,82</w:t>
      </w:r>
      <w:r>
        <w:rPr>
          <w:rFonts w:ascii="Calibri" w:hAnsi="Calibri" w:cs="Calibri"/>
          <w:color w:val="1A1A1A"/>
          <w:sz w:val="22"/>
          <w:szCs w:val="22"/>
        </w:rPr>
        <w:t xml:space="preserve">, que totalizan </w:t>
      </w:r>
      <w:r>
        <w:rPr>
          <w:rFonts w:ascii="Calibri" w:hAnsi="Calibri" w:cs="Calibri"/>
          <w:b/>
          <w:bCs/>
          <w:color w:val="1A1A1A"/>
          <w:sz w:val="22"/>
          <w:szCs w:val="22"/>
        </w:rPr>
        <w:t>13,18</w:t>
      </w:r>
      <w:r>
        <w:rPr>
          <w:rFonts w:ascii="Calibri" w:hAnsi="Calibri" w:cs="Calibri"/>
          <w:color w:val="1A1A1A"/>
          <w:sz w:val="22"/>
          <w:szCs w:val="22"/>
        </w:rPr>
        <w:t>. El sistema registró lo efectivamente descontado, dejando constancia del cálculo normativo.</w:t>
      </w:r>
    </w:p>
    <w:p w14:paraId="676A0778" w14:textId="77777777" w:rsidR="0089198E" w:rsidRDefault="0089198E">
      <w:pPr>
        <w:pStyle w:val="NormalWeb"/>
        <w:shd w:val="clear" w:color="auto" w:fill="EFF4F3"/>
        <w:divId w:val="1813054398"/>
        <w:rPr>
          <w:rFonts w:ascii="Calibri" w:hAnsi="Calibri" w:cs="Calibri"/>
          <w:color w:val="1A1A1A"/>
          <w:sz w:val="22"/>
          <w:szCs w:val="22"/>
        </w:rPr>
      </w:pPr>
      <w:r>
        <w:rPr>
          <w:rFonts w:ascii="Calibri" w:hAnsi="Calibri" w:cs="Calibri"/>
          <w:b/>
          <w:bCs/>
          <w:color w:val="1A1A1A"/>
          <w:sz w:val="22"/>
          <w:szCs w:val="22"/>
        </w:rPr>
        <w:t>Observación relevante:</w:t>
      </w:r>
      <w:r>
        <w:rPr>
          <w:rFonts w:ascii="Calibri" w:hAnsi="Calibri" w:cs="Calibri"/>
          <w:color w:val="1A1A1A"/>
          <w:sz w:val="22"/>
          <w:szCs w:val="22"/>
        </w:rPr>
        <w:t xml:space="preserve"> </w:t>
      </w:r>
      <w:r>
        <w:rPr>
          <w:rFonts w:ascii="Calibri" w:hAnsi="Calibri" w:cs="Calibri"/>
          <w:color w:val="1A1A1A"/>
          <w:sz w:val="22"/>
          <w:szCs w:val="22"/>
        </w:rPr>
        <w:t>el informe interno que reportó estas diferencias atribuye dos de los tres importes a colaboradores distintos de los que realmente corresponden. Los importes son correctos; los nombres, no. Se verificó contra el propio rol: 2,84 corresponde a Nieto Conde y 8,82 a Pardo Calle. De practicarse el ajuste sobre los nombres del informe, se cobraría en exceso a dos personas y quedarían dos en descubierto.</w:t>
      </w:r>
    </w:p>
    <w:p w14:paraId="69AD7363" w14:textId="77777777" w:rsidR="0089198E" w:rsidRDefault="0089198E">
      <w:pPr>
        <w:pStyle w:val="Ttulo3"/>
        <w:rPr>
          <w:rFonts w:eastAsia="Times New Roman"/>
        </w:rPr>
      </w:pPr>
      <w:r>
        <w:rPr>
          <w:rFonts w:eastAsia="Times New Roman"/>
        </w:rPr>
        <w:t>4.3 Fondo de reserva de julio, un centavo</w:t>
      </w:r>
    </w:p>
    <w:p w14:paraId="3E309347"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rol de julio consigna para un colaborador un fondo de reserva de 45,81 en el detalle, mientras que su total de ingresos —595,82— implica 45,82. El sistema registró 45,81, que es el valor del renglón efectivamente pagado.</w:t>
      </w:r>
    </w:p>
    <w:p w14:paraId="688EDD5D" w14:textId="77777777" w:rsidR="0089198E" w:rsidRDefault="0089198E">
      <w:pPr>
        <w:pStyle w:val="Ttulo3"/>
        <w:rPr>
          <w:rFonts w:eastAsia="Times New Roman"/>
        </w:rPr>
      </w:pPr>
      <w:r>
        <w:rPr>
          <w:rFonts w:eastAsia="Times New Roman"/>
        </w:rPr>
        <w:t>4.4 Otros descuentos de abril</w:t>
      </w:r>
    </w:p>
    <w:p w14:paraId="4BCF1911"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rol de abril incluye un descuento de 175,00 bajo el concepto «Otros», sin clasificación asociada. Se registró tal como consta en el rol, en un concepto genérico creado para ese fin. Su naturaleza contable permanece pendiente de definición.</w:t>
      </w:r>
    </w:p>
    <w:p w14:paraId="63018AAC" w14:textId="77777777" w:rsidR="0089198E" w:rsidRDefault="0089198E">
      <w:pPr>
        <w:pStyle w:val="Ttulo2"/>
        <w:rPr>
          <w:rFonts w:eastAsia="Times New Roman" w:cs="Calibri"/>
        </w:rPr>
      </w:pPr>
      <w:r>
        <w:rPr>
          <w:rFonts w:eastAsia="Times New Roman" w:cs="Calibri"/>
        </w:rPr>
        <w:t>5. Contenido actual del sistema</w:t>
      </w:r>
    </w:p>
    <w:tbl>
      <w:tblPr>
        <w:tblW w:w="5000" w:type="pct"/>
        <w:tblCellMar>
          <w:top w:w="15" w:type="dxa"/>
          <w:left w:w="15" w:type="dxa"/>
          <w:bottom w:w="15" w:type="dxa"/>
          <w:right w:w="15" w:type="dxa"/>
        </w:tblCellMar>
        <w:tblLook w:val="04A0" w:firstRow="1" w:lastRow="0" w:firstColumn="1" w:lastColumn="0" w:noHBand="0" w:noVBand="1"/>
      </w:tblPr>
      <w:tblGrid>
        <w:gridCol w:w="1790"/>
        <w:gridCol w:w="6704"/>
      </w:tblGrid>
      <w:tr w:rsidR="00000000" w14:paraId="32E93D0F" w14:textId="77777777">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4D31DF18"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Concepto</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0D488A2B"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Detalle</w:t>
            </w:r>
          </w:p>
        </w:tc>
      </w:tr>
      <w:tr w:rsidR="00000000" w14:paraId="1FF02BEC"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8D82D16"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Períodos de nómina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846672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7, de enero a julio, todos en estado Cerrado</w:t>
            </w:r>
          </w:p>
        </w:tc>
      </w:tr>
      <w:tr w:rsidR="00000000" w14:paraId="1D7FB4FE"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BD1ADA9"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Roles individuales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6001DB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22 en enero y febrero; 20 de marzo a julio</w:t>
            </w:r>
          </w:p>
        </w:tc>
      </w:tr>
      <w:tr w:rsidR="00000000" w14:paraId="3902DC2E"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74F35C3"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Acumulados anuales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4CE4A3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876 registros: materia gravada IESS, base de impuesto a la renta, base de décimo tercero, base de fondos de reserva, aporte personal y días laborados</w:t>
            </w:r>
          </w:p>
        </w:tc>
      </w:tr>
      <w:tr w:rsidR="00000000" w14:paraId="2A07A143"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DC59845"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Provisiones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06F5473"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Décimo tercero, décimo cuarto, vacaciones y fondos de reserva, por período y colaborador</w:t>
            </w:r>
          </w:p>
        </w:tc>
      </w:tr>
      <w:tr w:rsidR="00000000" w14:paraId="6DF8A05E"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1C246E2"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Liquidaciones de haberes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52600C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4, correspondientes a las separaciones de enero y marzo</w:t>
            </w:r>
          </w:p>
        </w:tc>
      </w:tr>
      <w:tr w:rsidR="00000000" w14:paraId="732CF4F0"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62D3154"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Asientos contables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ECA5508"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Ninguno. Los siete períodos se procesaron en régimen histórico, sin afectación contable</w:t>
            </w:r>
          </w:p>
        </w:tc>
      </w:tr>
    </w:tbl>
    <w:p w14:paraId="1EBD7DA5" w14:textId="77777777" w:rsidR="0089198E" w:rsidRDefault="0089198E">
      <w:pPr>
        <w:pStyle w:val="lab"/>
        <w:shd w:val="clear" w:color="auto" w:fill="EFF4F3"/>
        <w:spacing w:before="0" w:beforeAutospacing="0"/>
        <w:jc w:val="both"/>
        <w:divId w:val="2050911696"/>
        <w:rPr>
          <w:rFonts w:ascii="Calibri" w:hAnsi="Calibri" w:cs="Calibri"/>
        </w:rPr>
      </w:pPr>
      <w:r>
        <w:rPr>
          <w:rFonts w:ascii="Calibri" w:hAnsi="Calibri" w:cs="Calibri"/>
        </w:rPr>
        <w:t>Sobre la ausencia de asientos</w:t>
      </w:r>
    </w:p>
    <w:p w14:paraId="6689F07D" w14:textId="77777777" w:rsidR="0089198E" w:rsidRDefault="0089198E">
      <w:pPr>
        <w:pStyle w:val="NormalWeb"/>
        <w:shd w:val="clear" w:color="auto" w:fill="EFF4F3"/>
        <w:divId w:val="2050911696"/>
        <w:rPr>
          <w:rFonts w:ascii="Calibri" w:hAnsi="Calibri" w:cs="Calibri"/>
          <w:color w:val="1A1A1A"/>
          <w:sz w:val="22"/>
          <w:szCs w:val="22"/>
        </w:rPr>
      </w:pPr>
      <w:r>
        <w:rPr>
          <w:rFonts w:ascii="Calibri" w:hAnsi="Calibri" w:cs="Calibri"/>
          <w:color w:val="1A1A1A"/>
          <w:sz w:val="22"/>
          <w:szCs w:val="22"/>
        </w:rPr>
        <w:t>La carga histórica se ejecutó deliberadamente sin generar contabilidad, por tratarse de períodos cuyos asientos ya fueron registrados por otros medios. Agosto es el primer período configurado para generar asientos, y es el objeto de la sección siguiente.</w:t>
      </w:r>
    </w:p>
    <w:p w14:paraId="54DBEB89" w14:textId="77777777" w:rsidR="0089198E" w:rsidRDefault="0089198E">
      <w:pPr>
        <w:pStyle w:val="Ttulo2"/>
        <w:rPr>
          <w:rFonts w:eastAsia="Times New Roman" w:cs="Calibri"/>
        </w:rPr>
      </w:pPr>
      <w:r>
        <w:rPr>
          <w:rFonts w:eastAsia="Times New Roman" w:cs="Calibri"/>
        </w:rPr>
        <w:t>6. Agosto de 2026: lo que ya está preparado</w:t>
      </w:r>
    </w:p>
    <w:p w14:paraId="13E7D7D7"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período de agosto se encuentra creado en el sistema con la siguiente configuración, verificada tras su creación:</w:t>
      </w:r>
    </w:p>
    <w:tbl>
      <w:tblPr>
        <w:tblW w:w="5000" w:type="pct"/>
        <w:tblCellMar>
          <w:top w:w="15" w:type="dxa"/>
          <w:left w:w="15" w:type="dxa"/>
          <w:bottom w:w="15" w:type="dxa"/>
          <w:right w:w="15" w:type="dxa"/>
        </w:tblCellMar>
        <w:tblLook w:val="04A0" w:firstRow="1" w:lastRow="0" w:firstColumn="1" w:lastColumn="0" w:noHBand="0" w:noVBand="1"/>
      </w:tblPr>
      <w:tblGrid>
        <w:gridCol w:w="1682"/>
        <w:gridCol w:w="2749"/>
        <w:gridCol w:w="4063"/>
      </w:tblGrid>
      <w:tr w:rsidR="00000000" w14:paraId="274C1E73" w14:textId="77777777">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40500A41"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Parámetro</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59A62D76"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Valor</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572AFD81"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Efecto</w:t>
            </w:r>
          </w:p>
        </w:tc>
      </w:tr>
      <w:tr w:rsidR="00000000" w14:paraId="5808CBDC"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E38DA6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Ejercicio y mes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620475C"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2026 · 08</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F5E845E"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7322566E"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4819C39"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Vigencia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B5326B9"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01/08/2026 al 31/08/2026</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0017641"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Base del prorrateo de ingresos y días</w:t>
            </w:r>
          </w:p>
        </w:tc>
      </w:tr>
      <w:tr w:rsidR="00000000" w14:paraId="0D1B93A4"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75AAA5B"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Fecha contable</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C462A38"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31/08/2026</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ACE72EB"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Fecha con la que se emitirán los asientos</w:t>
            </w:r>
          </w:p>
        </w:tc>
      </w:tr>
      <w:tr w:rsidR="00000000" w14:paraId="68353247"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75FBAE33"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Tipo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356E08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Mensual</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6EF5FA6"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w:t>
            </w:r>
          </w:p>
        </w:tc>
      </w:tr>
      <w:tr w:rsidR="00000000" w14:paraId="0D6B2067"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BD6B8D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Modo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77EE5C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Productivo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A41E7EC"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Habilita la generación de contabilidad</w:t>
            </w:r>
          </w:p>
        </w:tc>
      </w:tr>
      <w:tr w:rsidR="00000000" w14:paraId="535C4802"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1C6D6D3"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Estado inicial</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42C3A7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Abierto</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FCBAA9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Admite el registro de novedades</w:t>
            </w:r>
          </w:p>
        </w:tc>
      </w:tr>
    </w:tbl>
    <w:p w14:paraId="164356D0"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Asimismo se verificó que la configuración contable del módulo se encuentra completa: las tres plantillas de asiento —rol de pagos, provisiones y pago de nómina— están activas, con sus 32 líneas definidas, y la totalidad de las cuentas referidas existen en el plan de cuentas. No hay líneas pendientes de configurar.</w:t>
      </w:r>
    </w:p>
    <w:p w14:paraId="30661420" w14:textId="77777777" w:rsidR="0089198E" w:rsidRDefault="0089198E">
      <w:pPr>
        <w:pStyle w:val="lab"/>
        <w:shd w:val="clear" w:color="auto" w:fill="EFF4F3"/>
        <w:spacing w:before="0" w:beforeAutospacing="0"/>
        <w:jc w:val="both"/>
        <w:divId w:val="27224871"/>
        <w:rPr>
          <w:rFonts w:ascii="Calibri" w:hAnsi="Calibri" w:cs="Calibri"/>
        </w:rPr>
      </w:pPr>
      <w:r>
        <w:rPr>
          <w:rFonts w:ascii="Calibri" w:hAnsi="Calibri" w:cs="Calibri"/>
        </w:rPr>
        <w:t>Fecha contable</w:t>
      </w:r>
    </w:p>
    <w:p w14:paraId="571EC9B1" w14:textId="77777777" w:rsidR="0089198E" w:rsidRDefault="0089198E">
      <w:pPr>
        <w:pStyle w:val="NormalWeb"/>
        <w:shd w:val="clear" w:color="auto" w:fill="EFF4F3"/>
        <w:divId w:val="27224871"/>
        <w:rPr>
          <w:rFonts w:ascii="Calibri" w:hAnsi="Calibri" w:cs="Calibri"/>
          <w:color w:val="1A1A1A"/>
          <w:sz w:val="22"/>
          <w:szCs w:val="22"/>
        </w:rPr>
      </w:pPr>
      <w:r>
        <w:rPr>
          <w:rFonts w:ascii="Calibri" w:hAnsi="Calibri" w:cs="Calibri"/>
          <w:color w:val="1A1A1A"/>
          <w:sz w:val="22"/>
          <w:szCs w:val="22"/>
        </w:rPr>
        <w:t>La fecha contable se fijó provisionalmente en el último día del mes. Si la política de la institución determina otra fecha —por ejemplo, la de pago efectivo—, debe modificarse antes de contabilizar. Una vez emitidos los asientos, el cambio ya no es reversible por esta vía.</w:t>
      </w:r>
    </w:p>
    <w:p w14:paraId="532C82BC" w14:textId="77777777" w:rsidR="0089198E" w:rsidRDefault="0089198E">
      <w:pPr>
        <w:pStyle w:val="Ttulo2"/>
        <w:rPr>
          <w:rFonts w:eastAsia="Times New Roman" w:cs="Calibri"/>
        </w:rPr>
      </w:pPr>
      <w:r>
        <w:rPr>
          <w:rFonts w:eastAsia="Times New Roman" w:cs="Calibri"/>
        </w:rPr>
        <w:t>7. Dónde se encuentra cada proceso en el sistema</w:t>
      </w:r>
    </w:p>
    <w:p w14:paraId="6DA054AA"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 xml:space="preserve">Todo el módulo cuelga de la opción </w:t>
      </w:r>
      <w:r>
        <w:rPr>
          <w:rFonts w:ascii="Calibri" w:hAnsi="Calibri" w:cs="Calibri"/>
          <w:b/>
          <w:bCs/>
          <w:color w:val="1A1A1A"/>
          <w:sz w:val="22"/>
          <w:szCs w:val="22"/>
        </w:rPr>
        <w:t>Recursos Humanos</w:t>
      </w:r>
      <w:r>
        <w:rPr>
          <w:rFonts w:ascii="Calibri" w:hAnsi="Calibri" w:cs="Calibri"/>
          <w:color w:val="1A1A1A"/>
          <w:sz w:val="22"/>
          <w:szCs w:val="22"/>
        </w:rPr>
        <w:t xml:space="preserve"> del menú principal. Los procesos que intervienen en el cierre mensual son los siguientes:</w:t>
      </w:r>
    </w:p>
    <w:tbl>
      <w:tblPr>
        <w:tblW w:w="5000" w:type="pct"/>
        <w:tblCellMar>
          <w:top w:w="15" w:type="dxa"/>
          <w:left w:w="15" w:type="dxa"/>
          <w:bottom w:w="15" w:type="dxa"/>
          <w:right w:w="15" w:type="dxa"/>
        </w:tblCellMar>
        <w:tblLook w:val="04A0" w:firstRow="1" w:lastRow="0" w:firstColumn="1" w:lastColumn="0" w:noHBand="0" w:noVBand="1"/>
      </w:tblPr>
      <w:tblGrid>
        <w:gridCol w:w="1742"/>
        <w:gridCol w:w="2640"/>
        <w:gridCol w:w="4112"/>
      </w:tblGrid>
      <w:tr w:rsidR="00000000" w14:paraId="0FFD4361" w14:textId="77777777">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3ADCECF4"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Proceso</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487B1565"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Ubicación en el menú</w:t>
            </w:r>
          </w:p>
        </w:tc>
        <w:tc>
          <w:tcPr>
            <w:tcW w:w="0" w:type="auto"/>
            <w:tcBorders>
              <w:top w:val="single" w:sz="4" w:space="0" w:color="A9BBBA"/>
              <w:left w:val="single" w:sz="4" w:space="0" w:color="A9BBBA"/>
              <w:bottom w:val="single" w:sz="4" w:space="0" w:color="A9BBBA"/>
              <w:right w:val="single" w:sz="4" w:space="0" w:color="A9BBBA"/>
            </w:tcBorders>
            <w:shd w:val="clear" w:color="auto" w:fill="E8EFEE"/>
            <w:tcMar>
              <w:top w:w="80" w:type="dxa"/>
              <w:left w:w="120" w:type="dxa"/>
              <w:bottom w:w="80" w:type="dxa"/>
              <w:right w:w="120" w:type="dxa"/>
            </w:tcMar>
            <w:vAlign w:val="center"/>
            <w:hideMark/>
          </w:tcPr>
          <w:p w14:paraId="34F0ABD8" w14:textId="77777777" w:rsidR="0089198E" w:rsidRDefault="0089198E">
            <w:pPr>
              <w:spacing w:before="80" w:after="240"/>
              <w:rPr>
                <w:rFonts w:ascii="Calibri" w:eastAsia="Times New Roman" w:hAnsi="Calibri" w:cs="Calibri"/>
                <w:b/>
                <w:bCs/>
                <w:color w:val="14403D"/>
                <w:sz w:val="20"/>
                <w:szCs w:val="20"/>
              </w:rPr>
            </w:pPr>
            <w:r>
              <w:rPr>
                <w:rFonts w:ascii="Calibri" w:eastAsia="Times New Roman" w:hAnsi="Calibri" w:cs="Calibri"/>
                <w:b/>
                <w:bCs/>
                <w:color w:val="14403D"/>
                <w:sz w:val="20"/>
                <w:szCs w:val="20"/>
              </w:rPr>
              <w:t>Para qué se usa</w:t>
            </w:r>
          </w:p>
        </w:tc>
      </w:tr>
      <w:tr w:rsidR="00000000" w14:paraId="3289AE09"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20EA5C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Colaboradores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6FA65F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Personal › Colaboradores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F275235"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Alta y consulta del personal. Desde el listado se abre la ficha de cada persona</w:t>
            </w:r>
          </w:p>
        </w:tc>
      </w:tr>
      <w:tr w:rsidR="00000000" w14:paraId="79CB1C2B"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6E6645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Ficha del colaborador</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FA3311F"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Se abre desde el listado de Colaboradores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2A046DC"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Datos personales, contratos, remuneración, jornada y modalidades de décimos y fondos de reserva</w:t>
            </w:r>
          </w:p>
        </w:tc>
      </w:tr>
      <w:tr w:rsidR="00000000" w14:paraId="19A1AD61"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00048AF2"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Vacaciones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95319F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Gestión › Vacaciones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418E1F8"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Registro y aprobación de solicitudes de vacaciones</w:t>
            </w:r>
          </w:p>
        </w:tc>
      </w:tr>
      <w:tr w:rsidR="00000000" w14:paraId="5D676782"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A85243F"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Permisos y licencias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0CC8611"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Gestión › Permisos y licencias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13FF359"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Ausencias, con o sin goce de remuneración</w:t>
            </w:r>
          </w:p>
        </w:tc>
      </w:tr>
      <w:tr w:rsidR="00000000" w14:paraId="34EF7980"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2FADFAF"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Liquidaciones de haberes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D642746"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Procesos › Liquidación</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6437516"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Finiquitos: cálculo, aprobación y ejecución de la separación</w:t>
            </w:r>
          </w:p>
        </w:tc>
      </w:tr>
      <w:tr w:rsidR="00000000" w14:paraId="571E3B59"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6214F94B"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Novedades de nómina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9AC8B42"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Procesos › Novedades de nómina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B675B16"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Préstamos del IESS, anticipos y descuentos del mes</w:t>
            </w:r>
          </w:p>
        </w:tc>
      </w:tr>
      <w:tr w:rsidR="00000000" w14:paraId="250854B2"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DD7B5CD"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Descuentos recurrentes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766459A"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Procesos › Descuentos recurrentes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988ED67"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Descuentos en cuotas, con su tabla de amortización</w:t>
            </w:r>
          </w:p>
        </w:tc>
      </w:tr>
      <w:tr w:rsidR="00000000" w14:paraId="253CCECB"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4BA6070E"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b/>
                <w:bCs/>
                <w:color w:val="1A1A1A"/>
                <w:sz w:val="20"/>
                <w:szCs w:val="20"/>
              </w:rPr>
              <w:t>Períodos de nómina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B698E7C"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b/>
                <w:bCs/>
                <w:color w:val="1A1A1A"/>
                <w:sz w:val="20"/>
                <w:szCs w:val="20"/>
              </w:rPr>
              <w:t>Recursos Humanos › Procesos › Períodos de nómina</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5B8C0230"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b/>
                <w:bCs/>
                <w:color w:val="1A1A1A"/>
                <w:sz w:val="20"/>
                <w:szCs w:val="20"/>
              </w:rPr>
              <w:t>Es la pantalla principal del cierre.</w:t>
            </w:r>
            <w:r>
              <w:rPr>
                <w:rFonts w:ascii="Calibri" w:eastAsia="Times New Roman" w:hAnsi="Calibri" w:cs="Calibri"/>
                <w:color w:val="1A1A1A"/>
                <w:sz w:val="20"/>
                <w:szCs w:val="20"/>
              </w:rPr>
              <w:t xml:space="preserve"> Listado de períodos; al abrir uno se accede a todas las acciones del mes</w:t>
            </w:r>
          </w:p>
        </w:tc>
      </w:tr>
      <w:tr w:rsidR="00000000" w14:paraId="387BC687" w14:textId="77777777">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28D6160B"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Novedades del IESS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381864BC"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Recursos Humanos › Procesos › Novedades del IESS</w:t>
            </w:r>
          </w:p>
        </w:tc>
        <w:tc>
          <w:tcPr>
            <w:tcW w:w="0" w:type="auto"/>
            <w:tcBorders>
              <w:top w:val="single" w:sz="4" w:space="0" w:color="C8D4D3"/>
              <w:left w:val="single" w:sz="4" w:space="0" w:color="C8D4D3"/>
              <w:bottom w:val="single" w:sz="4" w:space="0" w:color="C8D4D3"/>
              <w:right w:val="single" w:sz="4" w:space="0" w:color="C8D4D3"/>
            </w:tcBorders>
            <w:tcMar>
              <w:top w:w="80" w:type="dxa"/>
              <w:left w:w="120" w:type="dxa"/>
              <w:bottom w:w="80" w:type="dxa"/>
              <w:right w:w="120" w:type="dxa"/>
            </w:tcMar>
            <w:hideMark/>
          </w:tcPr>
          <w:p w14:paraId="1ADD57BE" w14:textId="77777777" w:rsidR="0089198E" w:rsidRDefault="0089198E">
            <w:pPr>
              <w:spacing w:before="80" w:after="240"/>
              <w:rPr>
                <w:rFonts w:ascii="Calibri" w:eastAsia="Times New Roman" w:hAnsi="Calibri" w:cs="Calibri"/>
                <w:color w:val="1A1A1A"/>
                <w:sz w:val="20"/>
                <w:szCs w:val="20"/>
              </w:rPr>
            </w:pPr>
            <w:r>
              <w:rPr>
                <w:rFonts w:ascii="Calibri" w:eastAsia="Times New Roman" w:hAnsi="Calibri" w:cs="Calibri"/>
                <w:color w:val="1A1A1A"/>
                <w:sz w:val="20"/>
                <w:szCs w:val="20"/>
              </w:rPr>
              <w:t>Avisos de entrada y salida para el Instituto</w:t>
            </w:r>
          </w:p>
        </w:tc>
      </w:tr>
    </w:tbl>
    <w:p w14:paraId="7F7BECD9" w14:textId="77777777" w:rsidR="0089198E" w:rsidRDefault="0089198E">
      <w:pPr>
        <w:pStyle w:val="lab"/>
        <w:shd w:val="clear" w:color="auto" w:fill="EFF4F3"/>
        <w:spacing w:before="0" w:beforeAutospacing="0"/>
        <w:jc w:val="both"/>
        <w:divId w:val="15234469"/>
        <w:rPr>
          <w:rFonts w:ascii="Calibri" w:hAnsi="Calibri" w:cs="Calibri"/>
        </w:rPr>
      </w:pPr>
      <w:r>
        <w:rPr>
          <w:rFonts w:ascii="Calibri" w:hAnsi="Calibri" w:cs="Calibri"/>
        </w:rPr>
        <w:t>La pantalla del período es donde ocurre casi todo</w:t>
      </w:r>
    </w:p>
    <w:p w14:paraId="503A4FCB" w14:textId="77777777" w:rsidR="0089198E" w:rsidRDefault="0089198E">
      <w:pPr>
        <w:pStyle w:val="NormalWeb"/>
        <w:shd w:val="clear" w:color="auto" w:fill="EFF4F3"/>
        <w:divId w:val="15234469"/>
        <w:rPr>
          <w:rFonts w:ascii="Calibri" w:hAnsi="Calibri" w:cs="Calibri"/>
          <w:color w:val="1A1A1A"/>
          <w:sz w:val="22"/>
          <w:szCs w:val="22"/>
        </w:rPr>
      </w:pPr>
      <w:r>
        <w:rPr>
          <w:rFonts w:ascii="Calibri" w:hAnsi="Calibri" w:cs="Calibri"/>
          <w:color w:val="1A1A1A"/>
          <w:sz w:val="22"/>
          <w:szCs w:val="22"/>
        </w:rPr>
        <w:t xml:space="preserve">Al abrir un período desde </w:t>
      </w:r>
      <w:r>
        <w:rPr>
          <w:rFonts w:ascii="Calibri" w:hAnsi="Calibri" w:cs="Calibri"/>
          <w:b/>
          <w:bCs/>
          <w:color w:val="1A1A1A"/>
          <w:sz w:val="22"/>
          <w:szCs w:val="22"/>
        </w:rPr>
        <w:t>Procesos › Períodos de nómina</w:t>
      </w:r>
      <w:r>
        <w:rPr>
          <w:rFonts w:ascii="Calibri" w:hAnsi="Calibri" w:cs="Calibri"/>
          <w:color w:val="1A1A1A"/>
          <w:sz w:val="22"/>
          <w:szCs w:val="22"/>
        </w:rPr>
        <w:t xml:space="preserve"> </w:t>
      </w:r>
      <w:r>
        <w:rPr>
          <w:rFonts w:ascii="Calibri" w:hAnsi="Calibri" w:cs="Calibri"/>
          <w:color w:val="1A1A1A"/>
          <w:sz w:val="22"/>
          <w:szCs w:val="22"/>
        </w:rPr>
        <w:t xml:space="preserve">se accede a la pantalla que concentra el cierre. Allí se encuentran los roles individuales calculados, las provisiones del mes, las novedades asociadas y los seis botones de acción del período: </w:t>
      </w:r>
      <w:r>
        <w:rPr>
          <w:rFonts w:ascii="Calibri" w:hAnsi="Calibri" w:cs="Calibri"/>
          <w:b/>
          <w:bCs/>
          <w:color w:val="1A1A1A"/>
          <w:sz w:val="22"/>
          <w:szCs w:val="22"/>
        </w:rPr>
        <w:t>Calcular</w:t>
      </w:r>
      <w:r>
        <w:rPr>
          <w:rFonts w:ascii="Calibri" w:hAnsi="Calibri" w:cs="Calibri"/>
          <w:color w:val="1A1A1A"/>
          <w:sz w:val="22"/>
          <w:szCs w:val="22"/>
        </w:rPr>
        <w:t xml:space="preserve">, </w:t>
      </w:r>
      <w:r>
        <w:rPr>
          <w:rFonts w:ascii="Calibri" w:hAnsi="Calibri" w:cs="Calibri"/>
          <w:b/>
          <w:bCs/>
          <w:color w:val="1A1A1A"/>
          <w:sz w:val="22"/>
          <w:szCs w:val="22"/>
        </w:rPr>
        <w:t>Aprobar</w:t>
      </w:r>
      <w:r>
        <w:rPr>
          <w:rFonts w:ascii="Calibri" w:hAnsi="Calibri" w:cs="Calibri"/>
          <w:color w:val="1A1A1A"/>
          <w:sz w:val="22"/>
          <w:szCs w:val="22"/>
        </w:rPr>
        <w:t xml:space="preserve">, </w:t>
      </w:r>
      <w:r>
        <w:rPr>
          <w:rFonts w:ascii="Calibri" w:hAnsi="Calibri" w:cs="Calibri"/>
          <w:b/>
          <w:bCs/>
          <w:color w:val="1A1A1A"/>
          <w:sz w:val="22"/>
          <w:szCs w:val="22"/>
        </w:rPr>
        <w:t>Contabilizar rol</w:t>
      </w:r>
      <w:r>
        <w:rPr>
          <w:rFonts w:ascii="Calibri" w:hAnsi="Calibri" w:cs="Calibri"/>
          <w:color w:val="1A1A1A"/>
          <w:sz w:val="22"/>
          <w:szCs w:val="22"/>
        </w:rPr>
        <w:t xml:space="preserve">, </w:t>
      </w:r>
      <w:r>
        <w:rPr>
          <w:rFonts w:ascii="Calibri" w:hAnsi="Calibri" w:cs="Calibri"/>
          <w:b/>
          <w:bCs/>
          <w:color w:val="1A1A1A"/>
          <w:sz w:val="22"/>
          <w:szCs w:val="22"/>
        </w:rPr>
        <w:t>Contabilizar provisiones</w:t>
      </w:r>
      <w:r>
        <w:rPr>
          <w:rFonts w:ascii="Calibri" w:hAnsi="Calibri" w:cs="Calibri"/>
          <w:color w:val="1A1A1A"/>
          <w:sz w:val="22"/>
          <w:szCs w:val="22"/>
        </w:rPr>
        <w:t xml:space="preserve">, </w:t>
      </w:r>
      <w:r>
        <w:rPr>
          <w:rFonts w:ascii="Calibri" w:hAnsi="Calibri" w:cs="Calibri"/>
          <w:b/>
          <w:bCs/>
          <w:color w:val="1A1A1A"/>
          <w:sz w:val="22"/>
          <w:szCs w:val="22"/>
        </w:rPr>
        <w:t>Cerrar</w:t>
      </w:r>
      <w:r>
        <w:rPr>
          <w:rFonts w:ascii="Calibri" w:hAnsi="Calibri" w:cs="Calibri"/>
          <w:color w:val="1A1A1A"/>
          <w:sz w:val="22"/>
          <w:szCs w:val="22"/>
        </w:rPr>
        <w:t xml:space="preserve"> y </w:t>
      </w:r>
      <w:r>
        <w:rPr>
          <w:rFonts w:ascii="Calibri" w:hAnsi="Calibri" w:cs="Calibri"/>
          <w:b/>
          <w:bCs/>
          <w:color w:val="1A1A1A"/>
          <w:sz w:val="22"/>
          <w:szCs w:val="22"/>
        </w:rPr>
        <w:t>Reabrir</w:t>
      </w:r>
      <w:r>
        <w:rPr>
          <w:rFonts w:ascii="Calibri" w:hAnsi="Calibri" w:cs="Calibri"/>
          <w:color w:val="1A1A1A"/>
          <w:sz w:val="22"/>
          <w:szCs w:val="22"/>
        </w:rPr>
        <w:t>.</w:t>
      </w:r>
    </w:p>
    <w:p w14:paraId="68140E76" w14:textId="77777777" w:rsidR="0089198E" w:rsidRDefault="0089198E">
      <w:pPr>
        <w:pStyle w:val="NormalWeb"/>
        <w:shd w:val="clear" w:color="auto" w:fill="EFF4F3"/>
        <w:divId w:val="15234469"/>
        <w:rPr>
          <w:rFonts w:ascii="Calibri" w:hAnsi="Calibri" w:cs="Calibri"/>
          <w:color w:val="1A1A1A"/>
          <w:sz w:val="22"/>
          <w:szCs w:val="22"/>
        </w:rPr>
      </w:pPr>
      <w:r>
        <w:rPr>
          <w:rFonts w:ascii="Calibri" w:hAnsi="Calibri" w:cs="Calibri"/>
          <w:color w:val="1A1A1A"/>
          <w:sz w:val="22"/>
          <w:szCs w:val="22"/>
        </w:rPr>
        <w:t xml:space="preserve">Los botones se habilitan según el estado en que se encuentre el período: </w:t>
      </w:r>
      <w:r>
        <w:rPr>
          <w:rFonts w:ascii="Calibri" w:hAnsi="Calibri" w:cs="Calibri"/>
          <w:b/>
          <w:bCs/>
          <w:color w:val="1A1A1A"/>
          <w:sz w:val="22"/>
          <w:szCs w:val="22"/>
        </w:rPr>
        <w:t>Calcular</w:t>
      </w:r>
      <w:r>
        <w:rPr>
          <w:rFonts w:ascii="Calibri" w:hAnsi="Calibri" w:cs="Calibri"/>
          <w:color w:val="1A1A1A"/>
          <w:sz w:val="22"/>
          <w:szCs w:val="22"/>
        </w:rPr>
        <w:t xml:space="preserve"> con el período Abierto, </w:t>
      </w:r>
      <w:r>
        <w:rPr>
          <w:rFonts w:ascii="Calibri" w:hAnsi="Calibri" w:cs="Calibri"/>
          <w:b/>
          <w:bCs/>
          <w:color w:val="1A1A1A"/>
          <w:sz w:val="22"/>
          <w:szCs w:val="22"/>
        </w:rPr>
        <w:t>Aprobar</w:t>
      </w:r>
      <w:r>
        <w:rPr>
          <w:rFonts w:ascii="Calibri" w:hAnsi="Calibri" w:cs="Calibri"/>
          <w:color w:val="1A1A1A"/>
          <w:sz w:val="22"/>
          <w:szCs w:val="22"/>
        </w:rPr>
        <w:t xml:space="preserve"> </w:t>
      </w:r>
      <w:r>
        <w:rPr>
          <w:rFonts w:ascii="Calibri" w:hAnsi="Calibri" w:cs="Calibri"/>
          <w:color w:val="1A1A1A"/>
          <w:sz w:val="22"/>
          <w:szCs w:val="22"/>
        </w:rPr>
        <w:t>una vez Calculado, y así sucesivamente. Si un botón aparece deshabilitado, el motivo es que el período aún no ha alcanzado el estado que esa acción requiere.</w:t>
      </w:r>
    </w:p>
    <w:p w14:paraId="647BBE66" w14:textId="77777777" w:rsidR="0089198E" w:rsidRDefault="0089198E">
      <w:pPr>
        <w:pStyle w:val="Ttulo2"/>
        <w:rPr>
          <w:rFonts w:eastAsia="Times New Roman" w:cs="Calibri"/>
        </w:rPr>
      </w:pPr>
      <w:r>
        <w:rPr>
          <w:rFonts w:eastAsia="Times New Roman" w:cs="Calibri"/>
        </w:rPr>
        <w:t>8. Procedimiento para el cierre de agosto</w:t>
      </w:r>
    </w:p>
    <w:p w14:paraId="7A4440B8"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orden que sigue no es indicativo: cada paso depende del anterior y su alteración produce resultados incorrectos que el sistema no siempre advierte. La columna «Dónde» remite al mapa de la sección anterior.</w:t>
      </w:r>
    </w:p>
    <w:p w14:paraId="2773C1BD"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Actualizar las fichas del personal.</w:t>
      </w:r>
      <w:r>
        <w:rPr>
          <w:rFonts w:ascii="Calibri" w:eastAsia="Times New Roman" w:hAnsi="Calibri" w:cs="Calibri"/>
          <w:color w:val="1A1A1A"/>
          <w:sz w:val="22"/>
          <w:szCs w:val="22"/>
        </w:rPr>
        <w:br/>
      </w:r>
      <w:r>
        <w:rPr>
          <w:rFonts w:ascii="Calibri" w:eastAsia="Times New Roman" w:hAnsi="Calibri" w:cs="Calibri"/>
          <w:i/>
          <w:iCs/>
          <w:color w:val="1A1A1A"/>
          <w:sz w:val="22"/>
          <w:szCs w:val="22"/>
        </w:rPr>
        <w:t>Dónde: Personal › Colaboradores, y desde allí la ficha de cada persona.</w:t>
      </w:r>
      <w:r>
        <w:rPr>
          <w:rFonts w:ascii="Calibri" w:eastAsia="Times New Roman" w:hAnsi="Calibri" w:cs="Calibri"/>
          <w:color w:val="1A1A1A"/>
          <w:sz w:val="22"/>
          <w:szCs w:val="22"/>
        </w:rPr>
        <w:br/>
        <w:t>Ingresos, separaciones, cambios de remuneración o de jornada. El motor toma la información vigente en la ficha al momento de calcular, de modo que toda novedad de personal debe estar registrada antes de continuar.</w:t>
      </w:r>
    </w:p>
    <w:p w14:paraId="1EDC42E8"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Registrar liquidaciones de haberes y ejecutar las separaciones.</w:t>
      </w:r>
      <w:r>
        <w:rPr>
          <w:rFonts w:ascii="Calibri" w:eastAsia="Times New Roman" w:hAnsi="Calibri" w:cs="Calibri"/>
          <w:color w:val="1A1A1A"/>
          <w:sz w:val="22"/>
          <w:szCs w:val="22"/>
        </w:rPr>
        <w:br/>
      </w:r>
      <w:r>
        <w:rPr>
          <w:rFonts w:ascii="Calibri" w:eastAsia="Times New Roman" w:hAnsi="Calibri" w:cs="Calibri"/>
          <w:i/>
          <w:iCs/>
          <w:color w:val="1A1A1A"/>
          <w:sz w:val="22"/>
          <w:szCs w:val="22"/>
        </w:rPr>
        <w:t>Dónde: Procesos › Liquidación.</w:t>
      </w:r>
      <w:r>
        <w:rPr>
          <w:rFonts w:ascii="Calibri" w:eastAsia="Times New Roman" w:hAnsi="Calibri" w:cs="Calibri"/>
          <w:color w:val="1A1A1A"/>
          <w:sz w:val="22"/>
          <w:szCs w:val="22"/>
        </w:rPr>
        <w:br/>
      </w:r>
      <w:r>
        <w:rPr>
          <w:rFonts w:ascii="Calibri" w:eastAsia="Times New Roman" w:hAnsi="Calibri" w:cs="Calibri"/>
          <w:color w:val="1A1A1A"/>
          <w:sz w:val="22"/>
          <w:szCs w:val="22"/>
        </w:rPr>
        <w:t>Si algún colaborador se separa en el mes, su liquidación debe registrarse, aprobarse y ejecutarse antes de calcular el período. En caso contrario quedan roles sin correspondencia con la nómina.</w:t>
      </w:r>
    </w:p>
    <w:p w14:paraId="02FF908E"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Registrar las novedades del período.</w:t>
      </w:r>
      <w:r>
        <w:rPr>
          <w:rFonts w:ascii="Calibri" w:eastAsia="Times New Roman" w:hAnsi="Calibri" w:cs="Calibri"/>
          <w:color w:val="1A1A1A"/>
          <w:sz w:val="22"/>
          <w:szCs w:val="22"/>
        </w:rPr>
        <w:br/>
      </w:r>
      <w:r>
        <w:rPr>
          <w:rFonts w:ascii="Calibri" w:eastAsia="Times New Roman" w:hAnsi="Calibri" w:cs="Calibri"/>
          <w:i/>
          <w:iCs/>
          <w:color w:val="1A1A1A"/>
          <w:sz w:val="22"/>
          <w:szCs w:val="22"/>
        </w:rPr>
        <w:t>Dónde: Procesos › Novedades de nómina, o la sección de novedades dentro de la pantalla del período.</w:t>
      </w:r>
      <w:r>
        <w:rPr>
          <w:rFonts w:ascii="Calibri" w:eastAsia="Times New Roman" w:hAnsi="Calibri" w:cs="Calibri"/>
          <w:color w:val="1A1A1A"/>
          <w:sz w:val="22"/>
          <w:szCs w:val="22"/>
        </w:rPr>
        <w:br/>
      </w:r>
      <w:r>
        <w:rPr>
          <w:rFonts w:ascii="Calibri" w:eastAsia="Times New Roman" w:hAnsi="Calibri" w:cs="Calibri"/>
          <w:color w:val="1A1A1A"/>
          <w:sz w:val="22"/>
          <w:szCs w:val="22"/>
        </w:rPr>
        <w:t>Préstamos quirografarios e hipotecarios, anticipos, descuentos y demás conceptos variables. Cada novedad nace marcada como no aprobada para el cálculo; debe aprobarse expresamente, o no será considerada.</w:t>
      </w:r>
    </w:p>
    <w:p w14:paraId="21595BFF"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Calcular la nómina.</w:t>
      </w:r>
      <w:r>
        <w:rPr>
          <w:rFonts w:ascii="Calibri" w:eastAsia="Times New Roman" w:hAnsi="Calibri" w:cs="Calibri"/>
          <w:color w:val="1A1A1A"/>
          <w:sz w:val="22"/>
          <w:szCs w:val="22"/>
        </w:rPr>
        <w:br/>
      </w:r>
      <w:r>
        <w:rPr>
          <w:rFonts w:ascii="Calibri" w:eastAsia="Times New Roman" w:hAnsi="Calibri" w:cs="Calibri"/>
          <w:i/>
          <w:iCs/>
          <w:color w:val="1A1A1A"/>
          <w:sz w:val="22"/>
          <w:szCs w:val="22"/>
        </w:rPr>
        <w:t xml:space="preserve">Dónde: Procesos › Períodos de nómina, se abre agosto, botón </w:t>
      </w:r>
      <w:r>
        <w:rPr>
          <w:rFonts w:ascii="Calibri" w:eastAsia="Times New Roman" w:hAnsi="Calibri" w:cs="Calibri"/>
          <w:b/>
          <w:bCs/>
          <w:i/>
          <w:iCs/>
          <w:color w:val="1A1A1A"/>
          <w:sz w:val="22"/>
          <w:szCs w:val="22"/>
        </w:rPr>
        <w:t>Calcular</w:t>
      </w:r>
      <w:r>
        <w:rPr>
          <w:rFonts w:ascii="Calibri" w:eastAsia="Times New Roman" w:hAnsi="Calibri" w:cs="Calibri"/>
          <w:i/>
          <w:iCs/>
          <w:color w:val="1A1A1A"/>
          <w:sz w:val="22"/>
          <w:szCs w:val="22"/>
        </w:rPr>
        <w:t>.</w:t>
      </w:r>
      <w:r>
        <w:rPr>
          <w:rFonts w:ascii="Calibri" w:eastAsia="Times New Roman" w:hAnsi="Calibri" w:cs="Calibri"/>
          <w:color w:val="1A1A1A"/>
          <w:sz w:val="22"/>
          <w:szCs w:val="22"/>
        </w:rPr>
        <w:br/>
        <w:t>El sistema genera los roles individuales, los aportes, las provisiones y los totales del período. El estado pasa a Calculado.</w:t>
      </w:r>
    </w:p>
    <w:p w14:paraId="7C2B1941"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Revisar el resultado antes de aprobar.</w:t>
      </w:r>
      <w:r>
        <w:rPr>
          <w:rFonts w:ascii="Calibri" w:eastAsia="Times New Roman" w:hAnsi="Calibri" w:cs="Calibri"/>
          <w:color w:val="1A1A1A"/>
          <w:sz w:val="22"/>
          <w:szCs w:val="22"/>
        </w:rPr>
        <w:br/>
      </w:r>
      <w:r>
        <w:rPr>
          <w:rFonts w:ascii="Calibri" w:eastAsia="Times New Roman" w:hAnsi="Calibri" w:cs="Calibri"/>
          <w:i/>
          <w:iCs/>
          <w:color w:val="1A1A1A"/>
          <w:sz w:val="22"/>
          <w:szCs w:val="22"/>
        </w:rPr>
        <w:t>Dónde: en la misma pantalla del período, en el detalle de roles y de provisiones.</w:t>
      </w:r>
      <w:r>
        <w:rPr>
          <w:rFonts w:ascii="Calibri" w:eastAsia="Times New Roman" w:hAnsi="Calibri" w:cs="Calibri"/>
          <w:color w:val="1A1A1A"/>
          <w:sz w:val="22"/>
          <w:szCs w:val="22"/>
        </w:rPr>
        <w:br/>
        <w:t>La revisión debe efectuarse con el período en estado Calculado. En ese estado, cualquier corrección se resuelve volviendo a calcular. Una vez aprobado y contabilizado, corregir exige reversar los asientos.</w:t>
      </w:r>
    </w:p>
    <w:p w14:paraId="1C74DEBB"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Aprobar el período.</w:t>
      </w:r>
      <w:r>
        <w:rPr>
          <w:rFonts w:ascii="Calibri" w:eastAsia="Times New Roman" w:hAnsi="Calibri" w:cs="Calibri"/>
          <w:color w:val="1A1A1A"/>
          <w:sz w:val="22"/>
          <w:szCs w:val="22"/>
        </w:rPr>
        <w:br/>
      </w:r>
      <w:r>
        <w:rPr>
          <w:rFonts w:ascii="Calibri" w:eastAsia="Times New Roman" w:hAnsi="Calibri" w:cs="Calibri"/>
          <w:i/>
          <w:iCs/>
          <w:color w:val="1A1A1A"/>
          <w:sz w:val="22"/>
          <w:szCs w:val="22"/>
        </w:rPr>
        <w:t xml:space="preserve">Dónde: pantalla del período, botón </w:t>
      </w:r>
      <w:r>
        <w:rPr>
          <w:rFonts w:ascii="Calibri" w:eastAsia="Times New Roman" w:hAnsi="Calibri" w:cs="Calibri"/>
          <w:b/>
          <w:bCs/>
          <w:i/>
          <w:iCs/>
          <w:color w:val="1A1A1A"/>
          <w:sz w:val="22"/>
          <w:szCs w:val="22"/>
        </w:rPr>
        <w:t>Aprobar</w:t>
      </w:r>
      <w:r>
        <w:rPr>
          <w:rFonts w:ascii="Calibri" w:eastAsia="Times New Roman" w:hAnsi="Calibri" w:cs="Calibri"/>
          <w:i/>
          <w:iCs/>
          <w:color w:val="1A1A1A"/>
          <w:sz w:val="22"/>
          <w:szCs w:val="22"/>
        </w:rPr>
        <w:t>.</w:t>
      </w:r>
      <w:r>
        <w:rPr>
          <w:rFonts w:ascii="Calibri" w:eastAsia="Times New Roman" w:hAnsi="Calibri" w:cs="Calibri"/>
          <w:color w:val="1A1A1A"/>
          <w:sz w:val="22"/>
          <w:szCs w:val="22"/>
        </w:rPr>
        <w:br/>
        <w:t>El sistema verifica que los porcentajes aplicados coincidan con la parametrización del ejercicio y rechaza la aprobación si detecta divergencias.</w:t>
      </w:r>
    </w:p>
    <w:p w14:paraId="4A91792F"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Generar la contabilidad.</w:t>
      </w:r>
      <w:r>
        <w:rPr>
          <w:rFonts w:ascii="Calibri" w:eastAsia="Times New Roman" w:hAnsi="Calibri" w:cs="Calibri"/>
          <w:color w:val="1A1A1A"/>
          <w:sz w:val="22"/>
          <w:szCs w:val="22"/>
        </w:rPr>
        <w:br/>
      </w:r>
      <w:r>
        <w:rPr>
          <w:rFonts w:ascii="Calibri" w:eastAsia="Times New Roman" w:hAnsi="Calibri" w:cs="Calibri"/>
          <w:i/>
          <w:iCs/>
          <w:color w:val="1A1A1A"/>
          <w:sz w:val="22"/>
          <w:szCs w:val="22"/>
        </w:rPr>
        <w:t xml:space="preserve">Dónde: pantalla del período, botones </w:t>
      </w:r>
      <w:r>
        <w:rPr>
          <w:rFonts w:ascii="Calibri" w:eastAsia="Times New Roman" w:hAnsi="Calibri" w:cs="Calibri"/>
          <w:b/>
          <w:bCs/>
          <w:i/>
          <w:iCs/>
          <w:color w:val="1A1A1A"/>
          <w:sz w:val="22"/>
          <w:szCs w:val="22"/>
        </w:rPr>
        <w:t>Contabilizar rol</w:t>
      </w:r>
      <w:r>
        <w:rPr>
          <w:rFonts w:ascii="Calibri" w:eastAsia="Times New Roman" w:hAnsi="Calibri" w:cs="Calibri"/>
          <w:i/>
          <w:iCs/>
          <w:color w:val="1A1A1A"/>
          <w:sz w:val="22"/>
          <w:szCs w:val="22"/>
        </w:rPr>
        <w:t xml:space="preserve"> y </w:t>
      </w:r>
      <w:r>
        <w:rPr>
          <w:rFonts w:ascii="Calibri" w:eastAsia="Times New Roman" w:hAnsi="Calibri" w:cs="Calibri"/>
          <w:b/>
          <w:bCs/>
          <w:i/>
          <w:iCs/>
          <w:color w:val="1A1A1A"/>
          <w:sz w:val="22"/>
          <w:szCs w:val="22"/>
        </w:rPr>
        <w:t>Contabilizar provisiones</w:t>
      </w:r>
      <w:r>
        <w:rPr>
          <w:rFonts w:ascii="Calibri" w:eastAsia="Times New Roman" w:hAnsi="Calibri" w:cs="Calibri"/>
          <w:i/>
          <w:iCs/>
          <w:color w:val="1A1A1A"/>
          <w:sz w:val="22"/>
          <w:szCs w:val="22"/>
        </w:rPr>
        <w:t>.</w:t>
      </w:r>
      <w:r>
        <w:rPr>
          <w:rFonts w:ascii="Calibri" w:eastAsia="Times New Roman" w:hAnsi="Calibri" w:cs="Calibri"/>
          <w:color w:val="1A1A1A"/>
          <w:sz w:val="22"/>
          <w:szCs w:val="22"/>
        </w:rPr>
        <w:br/>
        <w:t>Ambos asientos se emiten con fecha 31/08/2026 y quedan sujetos a la validación de partida doble del módulo contable.</w:t>
      </w:r>
    </w:p>
    <w:p w14:paraId="49E2E454" w14:textId="77777777" w:rsidR="0089198E" w:rsidRDefault="0089198E">
      <w:pPr>
        <w:numPr>
          <w:ilvl w:val="0"/>
          <w:numId w:val="2"/>
        </w:numPr>
        <w:spacing w:before="100" w:beforeAutospacing="1" w:after="80"/>
        <w:rPr>
          <w:rFonts w:ascii="Calibri" w:eastAsia="Times New Roman" w:hAnsi="Calibri" w:cs="Calibri"/>
          <w:color w:val="1A1A1A"/>
          <w:sz w:val="22"/>
          <w:szCs w:val="22"/>
        </w:rPr>
      </w:pPr>
      <w:r>
        <w:rPr>
          <w:rFonts w:ascii="Calibri" w:eastAsia="Times New Roman" w:hAnsi="Calibri" w:cs="Calibri"/>
          <w:b/>
          <w:bCs/>
          <w:color w:val="1A1A1A"/>
          <w:sz w:val="22"/>
          <w:szCs w:val="22"/>
        </w:rPr>
        <w:t>Cerrar el período.</w:t>
      </w:r>
      <w:r>
        <w:rPr>
          <w:rFonts w:ascii="Calibri" w:eastAsia="Times New Roman" w:hAnsi="Calibri" w:cs="Calibri"/>
          <w:color w:val="1A1A1A"/>
          <w:sz w:val="22"/>
          <w:szCs w:val="22"/>
        </w:rPr>
        <w:br/>
      </w:r>
      <w:r>
        <w:rPr>
          <w:rFonts w:ascii="Calibri" w:eastAsia="Times New Roman" w:hAnsi="Calibri" w:cs="Calibri"/>
          <w:i/>
          <w:iCs/>
          <w:color w:val="1A1A1A"/>
          <w:sz w:val="22"/>
          <w:szCs w:val="22"/>
        </w:rPr>
        <w:t xml:space="preserve">Dónde: pantalla del período, botón </w:t>
      </w:r>
      <w:r>
        <w:rPr>
          <w:rFonts w:ascii="Calibri" w:eastAsia="Times New Roman" w:hAnsi="Calibri" w:cs="Calibri"/>
          <w:b/>
          <w:bCs/>
          <w:i/>
          <w:iCs/>
          <w:color w:val="1A1A1A"/>
          <w:sz w:val="22"/>
          <w:szCs w:val="22"/>
        </w:rPr>
        <w:t>Cerrar</w:t>
      </w:r>
      <w:r>
        <w:rPr>
          <w:rFonts w:ascii="Calibri" w:eastAsia="Times New Roman" w:hAnsi="Calibri" w:cs="Calibri"/>
          <w:i/>
          <w:iCs/>
          <w:color w:val="1A1A1A"/>
          <w:sz w:val="22"/>
          <w:szCs w:val="22"/>
        </w:rPr>
        <w:t>.</w:t>
      </w:r>
      <w:r>
        <w:rPr>
          <w:rFonts w:ascii="Calibri" w:eastAsia="Times New Roman" w:hAnsi="Calibri" w:cs="Calibri"/>
          <w:color w:val="1A1A1A"/>
          <w:sz w:val="22"/>
          <w:szCs w:val="22"/>
        </w:rPr>
        <w:br/>
        <w:t>El cierre consolida los acumulados anuales por colaborador, que son la base de los formularios de renta y de la información al IESS. Un período cerrado no debe recalcularse.</w:t>
      </w:r>
    </w:p>
    <w:p w14:paraId="205E45B5" w14:textId="77777777" w:rsidR="0089198E" w:rsidRDefault="0089198E">
      <w:pPr>
        <w:pStyle w:val="Ttulo2"/>
        <w:rPr>
          <w:rFonts w:eastAsia="Times New Roman" w:cs="Calibri"/>
        </w:rPr>
      </w:pPr>
      <w:r>
        <w:rPr>
          <w:rFonts w:eastAsia="Times New Roman" w:cs="Calibri"/>
        </w:rPr>
        <w:t>9. Precauciones de operación</w:t>
      </w:r>
    </w:p>
    <w:p w14:paraId="5BA4E667" w14:textId="77777777" w:rsidR="0089198E" w:rsidRDefault="0089198E">
      <w:pPr>
        <w:pStyle w:val="lab"/>
        <w:shd w:val="clear" w:color="auto" w:fill="EFF4F3"/>
        <w:spacing w:before="0" w:beforeAutospacing="0"/>
        <w:jc w:val="both"/>
        <w:divId w:val="474883571"/>
        <w:rPr>
          <w:rFonts w:ascii="Calibri" w:hAnsi="Calibri" w:cs="Calibri"/>
        </w:rPr>
      </w:pPr>
      <w:r>
        <w:rPr>
          <w:rFonts w:ascii="Calibri" w:hAnsi="Calibri" w:cs="Calibri"/>
        </w:rPr>
        <w:t>No recalcular períodos cerrados</w:t>
      </w:r>
    </w:p>
    <w:p w14:paraId="6027D95A" w14:textId="77777777" w:rsidR="0089198E" w:rsidRDefault="0089198E">
      <w:pPr>
        <w:pStyle w:val="NormalWeb"/>
        <w:shd w:val="clear" w:color="auto" w:fill="EFF4F3"/>
        <w:divId w:val="474883571"/>
        <w:rPr>
          <w:rFonts w:ascii="Calibri" w:hAnsi="Calibri" w:cs="Calibri"/>
          <w:color w:val="1A1A1A"/>
          <w:sz w:val="22"/>
          <w:szCs w:val="22"/>
        </w:rPr>
      </w:pPr>
      <w:r>
        <w:rPr>
          <w:rFonts w:ascii="Calibri" w:hAnsi="Calibri" w:cs="Calibri"/>
          <w:color w:val="1A1A1A"/>
          <w:sz w:val="22"/>
          <w:szCs w:val="22"/>
        </w:rPr>
        <w:t>Los períodos de enero a julio contienen lo efectivamente pagado. Recalcularlos los reescribiría con la parametrización y las fichas vigentes hoy, que no son necesariamente las de aquellos meses. El resultado no produce error alguno: simplemente sustituye la información histórica.</w:t>
      </w:r>
    </w:p>
    <w:p w14:paraId="73CA4D06" w14:textId="77777777" w:rsidR="0089198E" w:rsidRDefault="0089198E">
      <w:pPr>
        <w:pStyle w:val="lab"/>
        <w:shd w:val="clear" w:color="auto" w:fill="EFF4F3"/>
        <w:spacing w:before="0" w:beforeAutospacing="0"/>
        <w:jc w:val="both"/>
        <w:divId w:val="1559511919"/>
        <w:rPr>
          <w:rFonts w:ascii="Calibri" w:hAnsi="Calibri" w:cs="Calibri"/>
        </w:rPr>
      </w:pPr>
      <w:r>
        <w:rPr>
          <w:rFonts w:ascii="Calibri" w:hAnsi="Calibri" w:cs="Calibri"/>
        </w:rPr>
        <w:t>No uniformar las observaciones de enero y marzo</w:t>
      </w:r>
    </w:p>
    <w:p w14:paraId="32F9DEA2" w14:textId="77777777" w:rsidR="0089198E" w:rsidRDefault="0089198E">
      <w:pPr>
        <w:pStyle w:val="NormalWeb"/>
        <w:shd w:val="clear" w:color="auto" w:fill="EFF4F3"/>
        <w:divId w:val="1559511919"/>
        <w:rPr>
          <w:rFonts w:ascii="Calibri" w:hAnsi="Calibri" w:cs="Calibri"/>
          <w:color w:val="1A1A1A"/>
          <w:sz w:val="22"/>
          <w:szCs w:val="22"/>
        </w:rPr>
      </w:pPr>
      <w:r>
        <w:rPr>
          <w:rFonts w:ascii="Calibri" w:hAnsi="Calibri" w:cs="Calibri"/>
          <w:color w:val="1A1A1A"/>
          <w:sz w:val="22"/>
          <w:szCs w:val="22"/>
        </w:rPr>
        <w:t>Los períodos de enero y marzo presentan una observación distinta de la de los demás, que advierte sobre novedades del IESS no declaradas. Es una anotación generada por el sistema y constituye evidencia de las novedades cuyo plazo legal de presentación venció. No debe modificarse para homogeneizar la presentación.</w:t>
      </w:r>
    </w:p>
    <w:p w14:paraId="36DEC5A4" w14:textId="77777777" w:rsidR="0089198E" w:rsidRDefault="0089198E">
      <w:pPr>
        <w:pStyle w:val="lab"/>
        <w:shd w:val="clear" w:color="auto" w:fill="EFF4F3"/>
        <w:spacing w:before="0" w:beforeAutospacing="0"/>
        <w:jc w:val="both"/>
        <w:divId w:val="75057480"/>
        <w:rPr>
          <w:rFonts w:ascii="Calibri" w:hAnsi="Calibri" w:cs="Calibri"/>
        </w:rPr>
      </w:pPr>
      <w:r>
        <w:rPr>
          <w:rFonts w:ascii="Calibri" w:hAnsi="Calibri" w:cs="Calibri"/>
        </w:rPr>
        <w:t>Verificar el resultado en el sistema, no en la pantalla</w:t>
      </w:r>
    </w:p>
    <w:p w14:paraId="1B5107C9" w14:textId="77777777" w:rsidR="0089198E" w:rsidRDefault="0089198E">
      <w:pPr>
        <w:pStyle w:val="NormalWeb"/>
        <w:shd w:val="clear" w:color="auto" w:fill="EFF4F3"/>
        <w:divId w:val="75057480"/>
        <w:rPr>
          <w:rFonts w:ascii="Calibri" w:hAnsi="Calibri" w:cs="Calibri"/>
          <w:color w:val="1A1A1A"/>
          <w:sz w:val="22"/>
          <w:szCs w:val="22"/>
        </w:rPr>
      </w:pPr>
      <w:r>
        <w:rPr>
          <w:rFonts w:ascii="Calibri" w:hAnsi="Calibri" w:cs="Calibri"/>
          <w:color w:val="1A1A1A"/>
          <w:sz w:val="22"/>
          <w:szCs w:val="22"/>
        </w:rPr>
        <w:t>Ciertas vistas del módulo no se refrescan automáticamente tras calcular y pueden mostrar el resultado anterior. Se recomienda confirmar el estado del período y sus totales mediante consulta, y no únicamente por lo que muestre el formulario.</w:t>
      </w:r>
    </w:p>
    <w:p w14:paraId="0EA47061" w14:textId="77777777" w:rsidR="0089198E" w:rsidRDefault="0089198E">
      <w:pPr>
        <w:pStyle w:val="Ttulo2"/>
        <w:rPr>
          <w:rFonts w:eastAsia="Times New Roman" w:cs="Calibri"/>
        </w:rPr>
      </w:pPr>
      <w:r>
        <w:rPr>
          <w:rFonts w:eastAsia="Times New Roman" w:cs="Calibri"/>
        </w:rPr>
        <w:t>10. Asuntos que requieren definición</w:t>
      </w:r>
    </w:p>
    <w:p w14:paraId="55780238"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Los siguientes puntos exceden el ámbito técnico y corresponden a una decisión de la institución.</w:t>
      </w:r>
    </w:p>
    <w:p w14:paraId="77F9F508" w14:textId="77777777" w:rsidR="0089198E" w:rsidRDefault="0089198E">
      <w:pPr>
        <w:pStyle w:val="Ttulo3"/>
        <w:rPr>
          <w:rFonts w:eastAsia="Times New Roman"/>
        </w:rPr>
      </w:pPr>
      <w:r>
        <w:rPr>
          <w:rFonts w:eastAsia="Times New Roman"/>
        </w:rPr>
        <w:t>10.1 Aportes personales de julio (prioritario)</w:t>
      </w:r>
    </w:p>
    <w:p w14:paraId="4B3A3A2D"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Está pendiente resolver si se recupera de los tres colaboradores la diferencia de 13,18 señalada en 4.2, y por qué vía. Se reitera que los nombres consignados en el informe interno no corresponden a los importes: 2,84 es de Nieto Conde y 8,82 de Pardo Calle.</w:t>
      </w:r>
    </w:p>
    <w:p w14:paraId="13D6BD5F" w14:textId="77777777" w:rsidR="0089198E" w:rsidRDefault="0089198E">
      <w:pPr>
        <w:pStyle w:val="Ttulo3"/>
        <w:rPr>
          <w:rFonts w:eastAsia="Times New Roman"/>
        </w:rPr>
      </w:pPr>
      <w:r>
        <w:rPr>
          <w:rFonts w:eastAsia="Times New Roman"/>
        </w:rPr>
        <w:t>10.2 Planilla del IESS de julio (prioritario)</w:t>
      </w:r>
    </w:p>
    <w:p w14:paraId="302BA401"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No se dispone de la planilla del período 2026-07, por lo que en ese mes no fue posible el contraste contra la información del Instituto. Los aportes de julio se validaron únicamente contra el rol.</w:t>
      </w:r>
    </w:p>
    <w:p w14:paraId="153F8093" w14:textId="77777777" w:rsidR="0089198E" w:rsidRDefault="0089198E">
      <w:pPr>
        <w:pStyle w:val="Ttulo3"/>
        <w:rPr>
          <w:rFonts w:eastAsia="Times New Roman"/>
        </w:rPr>
      </w:pPr>
      <w:r>
        <w:rPr>
          <w:rFonts w:eastAsia="Times New Roman"/>
        </w:rPr>
        <w:t>10.3 Descuento de 175,00 en abril</w:t>
      </w:r>
    </w:p>
    <w:p w14:paraId="40344272"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Registrado bajo concepto genérico por no constar su naturaleza. Corresponde definir su clasificación o, en su caso, su reversión.</w:t>
      </w:r>
    </w:p>
    <w:p w14:paraId="2FE5EE59" w14:textId="77777777" w:rsidR="0089198E" w:rsidRDefault="0089198E">
      <w:pPr>
        <w:pStyle w:val="Ttulo3"/>
        <w:rPr>
          <w:rFonts w:eastAsia="Times New Roman"/>
        </w:rPr>
      </w:pPr>
      <w:r>
        <w:rPr>
          <w:rFonts w:eastAsia="Times New Roman"/>
        </w:rPr>
        <w:t>10.4 Fondos de reserva del colaborador en régimen de acumulación</w:t>
      </w:r>
    </w:p>
    <w:p w14:paraId="22F5AB7E"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Una colaboradora mantiene sus fondos de reserva en régimen de acumulación en el IESS. El rol de julio le acredita y le retiene simultáneamente el mismo importe, mientras que la planilla la declara como acumulada. Ambos criterios son consistentes en su efecto neto, pero conviene unificar el tratamiento para los períodos siguientes.</w:t>
      </w:r>
    </w:p>
    <w:p w14:paraId="45C0CE79" w14:textId="77777777" w:rsidR="0089198E" w:rsidRDefault="0089198E">
      <w:pPr>
        <w:pStyle w:val="Ttulo3"/>
        <w:rPr>
          <w:rFonts w:eastAsia="Times New Roman"/>
        </w:rPr>
      </w:pPr>
      <w:r>
        <w:rPr>
          <w:rFonts w:eastAsia="Times New Roman"/>
        </w:rPr>
        <w:t>10.5 Código de tipo de empleador</w:t>
      </w:r>
    </w:p>
    <w:p w14:paraId="10BDDFA9" w14:textId="77777777" w:rsidR="0089198E" w:rsidRDefault="0089198E">
      <w:pPr>
        <w:pStyle w:val="NormalWeb"/>
        <w:rPr>
          <w:rFonts w:ascii="Calibri" w:hAnsi="Calibri" w:cs="Calibri"/>
          <w:color w:val="1A1A1A"/>
          <w:sz w:val="22"/>
          <w:szCs w:val="22"/>
        </w:rPr>
      </w:pPr>
      <w:r>
        <w:rPr>
          <w:rFonts w:ascii="Calibri" w:hAnsi="Calibri" w:cs="Calibri"/>
          <w:color w:val="1A1A1A"/>
          <w:sz w:val="22"/>
          <w:szCs w:val="22"/>
        </w:rPr>
        <w:t>El generador de novedades del IESS requiere el código de tipo de empleador asignado a la institución. El campo permanece sin informar, lo que mantiene esa funcionalidad deshabilitada hasta contar con el dato.</w:t>
      </w:r>
    </w:p>
    <w:p w14:paraId="5F3A18DB" w14:textId="77777777" w:rsidR="0089198E" w:rsidRDefault="0089198E">
      <w:pPr>
        <w:pStyle w:val="foot"/>
        <w:spacing w:after="160"/>
        <w:jc w:val="both"/>
        <w:rPr>
          <w:rFonts w:ascii="Calibri" w:hAnsi="Calibri" w:cs="Calibri"/>
        </w:rPr>
      </w:pPr>
      <w:r>
        <w:rPr>
          <w:rFonts w:ascii="Calibri" w:hAnsi="Calibri" w:cs="Calibri"/>
        </w:rPr>
        <w:t>Documento elaborado por el equipo de implementación del sistema. La información aquí consignada fue verificada en el ambiente de producción el 25 de agosto de 2026. Para cualquier aclaración sobre los procedimientos descritos o sobre los asuntos de la sección 10, se ruega dirigirse al equipo antes de efectuar modificaciones sobre períodos cerrados.</w:t>
      </w:r>
    </w:p>
    <w:sectPr w:rsidR="0089198E">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0C1E53"/>
    <w:multiLevelType w:val="multilevel"/>
    <w:tmpl w:val="7C88D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4EA11B4"/>
    <w:multiLevelType w:val="multilevel"/>
    <w:tmpl w:val="943641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38935338">
    <w:abstractNumId w:val="0"/>
  </w:num>
  <w:num w:numId="2" w16cid:durableId="164904796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72D1A"/>
    <w:rsid w:val="0089198E"/>
    <w:rsid w:val="00972D1A"/>
    <w:rsid w:val="00ED170D"/>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D944E11"/>
  <w15:chartTrackingRefBased/>
  <w15:docId w15:val="{C9DCC304-8A78-47FE-B004-D1ADCD5249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EC" w:eastAsia="es-EC"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spacing w:after="120"/>
      <w:outlineLvl w:val="0"/>
    </w:pPr>
    <w:rPr>
      <w:rFonts w:ascii="Cambria" w:hAnsi="Cambria"/>
      <w:b/>
      <w:bCs/>
      <w:color w:val="14403D"/>
      <w:kern w:val="36"/>
      <w:sz w:val="40"/>
      <w:szCs w:val="40"/>
    </w:rPr>
  </w:style>
  <w:style w:type="paragraph" w:styleId="Ttulo2">
    <w:name w:val="heading 2"/>
    <w:basedOn w:val="Normal"/>
    <w:link w:val="Ttulo2Car"/>
    <w:uiPriority w:val="9"/>
    <w:qFormat/>
    <w:pPr>
      <w:pBdr>
        <w:bottom w:val="single" w:sz="8" w:space="3" w:color="B9C6C5"/>
      </w:pBdr>
      <w:spacing w:before="400" w:after="120"/>
      <w:outlineLvl w:val="1"/>
    </w:pPr>
    <w:rPr>
      <w:rFonts w:ascii="Cambria" w:hAnsi="Cambria"/>
      <w:b/>
      <w:bCs/>
      <w:color w:val="14403D"/>
      <w:sz w:val="28"/>
      <w:szCs w:val="28"/>
    </w:rPr>
  </w:style>
  <w:style w:type="paragraph" w:styleId="Ttulo3">
    <w:name w:val="heading 3"/>
    <w:basedOn w:val="Normal"/>
    <w:link w:val="Ttulo3Car"/>
    <w:uiPriority w:val="9"/>
    <w:qFormat/>
    <w:pPr>
      <w:spacing w:before="260" w:after="80"/>
      <w:outlineLvl w:val="2"/>
    </w:pPr>
    <w:rPr>
      <w:rFonts w:ascii="Calibri" w:hAnsi="Calibri" w:cs="Calibri"/>
      <w:b/>
      <w:bCs/>
      <w:color w:val="14403D"/>
      <w:sz w:val="23"/>
      <w:szCs w:val="23"/>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2F5496" w:themeColor="accent1" w:themeShade="BF"/>
      <w:sz w:val="28"/>
      <w:szCs w:val="28"/>
    </w:rPr>
  </w:style>
  <w:style w:type="paragraph" w:customStyle="1" w:styleId="msonormal0">
    <w:name w:val="msonormal"/>
    <w:basedOn w:val="Normal"/>
    <w:pPr>
      <w:spacing w:after="160"/>
      <w:jc w:val="both"/>
    </w:pPr>
  </w:style>
  <w:style w:type="paragraph" w:styleId="NormalWeb">
    <w:name w:val="Normal (Web)"/>
    <w:basedOn w:val="Normal"/>
    <w:uiPriority w:val="99"/>
    <w:semiHidden/>
    <w:unhideWhenUsed/>
    <w:pPr>
      <w:spacing w:after="160"/>
      <w:jc w:val="both"/>
    </w:pPr>
  </w:style>
  <w:style w:type="paragraph" w:customStyle="1" w:styleId="sub">
    <w:name w:val="sub"/>
    <w:basedOn w:val="Normal"/>
    <w:pPr>
      <w:spacing w:before="100" w:beforeAutospacing="1" w:after="280"/>
    </w:pPr>
    <w:rPr>
      <w:rFonts w:ascii="Cambria" w:hAnsi="Cambria"/>
      <w:color w:val="3A4A4A"/>
    </w:rPr>
  </w:style>
  <w:style w:type="paragraph" w:customStyle="1" w:styleId="box">
    <w:name w:val="box"/>
    <w:basedOn w:val="Normal"/>
    <w:pPr>
      <w:pBdr>
        <w:left w:val="single" w:sz="24" w:space="10" w:color="14403D"/>
      </w:pBdr>
      <w:shd w:val="clear" w:color="auto" w:fill="EFF4F3"/>
      <w:spacing w:before="160" w:after="240"/>
    </w:pPr>
  </w:style>
  <w:style w:type="paragraph" w:customStyle="1" w:styleId="lab">
    <w:name w:val="lab"/>
    <w:basedOn w:val="Normal"/>
    <w:pPr>
      <w:spacing w:before="100" w:beforeAutospacing="1" w:after="80"/>
    </w:pPr>
    <w:rPr>
      <w:b/>
      <w:bCs/>
      <w:caps/>
      <w:color w:val="14403D"/>
      <w:spacing w:val="20"/>
      <w:sz w:val="17"/>
      <w:szCs w:val="17"/>
    </w:rPr>
  </w:style>
  <w:style w:type="paragraph" w:customStyle="1" w:styleId="foot">
    <w:name w:val="foot"/>
    <w:basedOn w:val="Normal"/>
    <w:pPr>
      <w:pBdr>
        <w:top w:val="single" w:sz="4" w:space="8" w:color="B9C6C5"/>
      </w:pBdr>
      <w:spacing w:before="440" w:after="80"/>
    </w:pPr>
    <w:rPr>
      <w:color w:val="5F7178"/>
      <w:sz w:val="19"/>
      <w:szCs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234469">
      <w:marLeft w:val="0"/>
      <w:marRight w:val="0"/>
      <w:marTop w:val="160"/>
      <w:marBottom w:val="240"/>
      <w:divBdr>
        <w:top w:val="none" w:sz="0" w:space="0" w:color="auto"/>
        <w:left w:val="single" w:sz="24" w:space="10" w:color="14403D"/>
        <w:bottom w:val="none" w:sz="0" w:space="0" w:color="auto"/>
        <w:right w:val="none" w:sz="0" w:space="0" w:color="auto"/>
      </w:divBdr>
    </w:div>
    <w:div w:id="27224871">
      <w:marLeft w:val="0"/>
      <w:marRight w:val="0"/>
      <w:marTop w:val="160"/>
      <w:marBottom w:val="240"/>
      <w:divBdr>
        <w:top w:val="none" w:sz="0" w:space="0" w:color="auto"/>
        <w:left w:val="single" w:sz="24" w:space="10" w:color="14403D"/>
        <w:bottom w:val="none" w:sz="0" w:space="0" w:color="auto"/>
        <w:right w:val="none" w:sz="0" w:space="0" w:color="auto"/>
      </w:divBdr>
    </w:div>
    <w:div w:id="75057480">
      <w:marLeft w:val="0"/>
      <w:marRight w:val="0"/>
      <w:marTop w:val="160"/>
      <w:marBottom w:val="240"/>
      <w:divBdr>
        <w:top w:val="none" w:sz="0" w:space="0" w:color="auto"/>
        <w:left w:val="single" w:sz="24" w:space="10" w:color="14403D"/>
        <w:bottom w:val="none" w:sz="0" w:space="0" w:color="auto"/>
        <w:right w:val="none" w:sz="0" w:space="0" w:color="auto"/>
      </w:divBdr>
    </w:div>
    <w:div w:id="474883571">
      <w:marLeft w:val="0"/>
      <w:marRight w:val="0"/>
      <w:marTop w:val="160"/>
      <w:marBottom w:val="240"/>
      <w:divBdr>
        <w:top w:val="none" w:sz="0" w:space="0" w:color="auto"/>
        <w:left w:val="single" w:sz="24" w:space="10" w:color="14403D"/>
        <w:bottom w:val="none" w:sz="0" w:space="0" w:color="auto"/>
        <w:right w:val="none" w:sz="0" w:space="0" w:color="auto"/>
      </w:divBdr>
    </w:div>
    <w:div w:id="1559511919">
      <w:marLeft w:val="0"/>
      <w:marRight w:val="0"/>
      <w:marTop w:val="160"/>
      <w:marBottom w:val="240"/>
      <w:divBdr>
        <w:top w:val="none" w:sz="0" w:space="0" w:color="auto"/>
        <w:left w:val="single" w:sz="24" w:space="10" w:color="14403D"/>
        <w:bottom w:val="none" w:sz="0" w:space="0" w:color="auto"/>
        <w:right w:val="none" w:sz="0" w:space="0" w:color="auto"/>
      </w:divBdr>
    </w:div>
    <w:div w:id="1659188010">
      <w:marLeft w:val="0"/>
      <w:marRight w:val="0"/>
      <w:marTop w:val="160"/>
      <w:marBottom w:val="240"/>
      <w:divBdr>
        <w:top w:val="none" w:sz="0" w:space="0" w:color="auto"/>
        <w:left w:val="single" w:sz="24" w:space="10" w:color="14403D"/>
        <w:bottom w:val="none" w:sz="0" w:space="0" w:color="auto"/>
        <w:right w:val="none" w:sz="0" w:space="0" w:color="auto"/>
      </w:divBdr>
    </w:div>
    <w:div w:id="1813054398">
      <w:marLeft w:val="0"/>
      <w:marRight w:val="0"/>
      <w:marTop w:val="160"/>
      <w:marBottom w:val="240"/>
      <w:divBdr>
        <w:top w:val="none" w:sz="0" w:space="0" w:color="auto"/>
        <w:left w:val="single" w:sz="24" w:space="10" w:color="14403D"/>
        <w:bottom w:val="none" w:sz="0" w:space="0" w:color="auto"/>
        <w:right w:val="none" w:sz="0" w:space="0" w:color="auto"/>
      </w:divBdr>
    </w:div>
    <w:div w:id="2050911696">
      <w:marLeft w:val="0"/>
      <w:marRight w:val="0"/>
      <w:marTop w:val="160"/>
      <w:marBottom w:val="240"/>
      <w:divBdr>
        <w:top w:val="none" w:sz="0" w:space="0" w:color="auto"/>
        <w:left w:val="single" w:sz="24" w:space="10" w:color="14403D"/>
        <w:bottom w:val="none" w:sz="0" w:space="0" w:color="auto"/>
        <w:right w:val="none" w:sz="0" w:space="0" w:color="auto"/>
      </w:divBdr>
    </w:div>
  </w:divs>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2290</Words>
  <Characters>12599</Characters>
  <Application>Microsoft Office Word</Application>
  <DocSecurity>0</DocSecurity>
  <Lines>104</Lines>
  <Paragraphs>29</Paragraphs>
  <ScaleCrop>false</ScaleCrop>
  <Company/>
  <LinksUpToDate>false</LinksUpToDate>
  <CharactersWithSpaces>14860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Nómina 2026 — Informe de entrega — ASOPREP-FCPC</dc:title>
  <dc:subject/>
  <dc:creator>Mike</dc:creator>
  <cp:keywords/>
  <dc:description/>
  <cp:lastModifiedBy>Mike</cp:lastModifiedBy>
  <cp:revision>2</cp:revision>
  <dcterms:created xsi:type="dcterms:W3CDTF">2026-08-25T20:20:00Z</dcterms:created>
  <dcterms:modified xsi:type="dcterms:W3CDTF">2026-08-25T20:20:00Z</dcterms:modified>
</cp:coreProperties>
</file>