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Documentación técnica del sistema SAA — Requerimiento de auditoría</w:t>
      </w:r>
    </w:p>
    <w:p>
      <w:pPr/>
      <w:r>
        <w:t xml:space="preserve">Oct 24, 2026</w:t>
      </w:r>
      <w:r>
        <w:t xml:space="preserve"> · </w:t>
      </w:r>
      <w:r>
        <w:t xml:space="preserve">@Mike</w:t>
      </w:r>
    </w:p>
    <w:p>
      <w:pPr>
        <w:pStyle w:val="Heading2"/>
      </w:pPr>
      <w:r>
        <w:t xml:space="preserve">Presentación</w:t>
      </w:r>
    </w:p>
    <w:p>
      <w:pPr/>
      <w:r>
        <w:t xml:space="preserve">Este documento atiende los cinco puntos que pidió la auditoría sobre el </w:t>
      </w:r>
      <w:r>
        <w:rPr>
          <w:b/>
        </w:rPr>
        <w:t xml:space="preserve">Sistema de Administración ASOPREP (SAA)</w:t>
      </w:r>
      <w:r>
        <w:t xml:space="preserve"> de ASOPREP-FCPC: inventario de equipamiento, arquitectura tecnológica por ambiente, arquitectura del sistema, inventario de módulos y listados de usuarios.</w:t>
      </w:r>
    </w:p>
    <w:tbl>
      <w:tblPr>
        <w:tblStyle w:val="TableGrid"/>
        <w:tblW w:w="0" w:type="auto"/>
        <w:tblLayout w:type="fixed"/>
        <w:tblLook w:val="04A0" w:firstRow="1" w:lastRow="0" w:firstColumn="0" w:lastColumn="0" w:noHBand="0" w:noVBand="1"/>
      </w:tblPr>
      <w:tblGrid>
        <w:gridCol w:w="7675"/>
        <w:gridCol w:w="1684"/>
      </w:tblGrid>
      <w:tr>
        <w:trPr>
          <w:tblHeader/>
        </w:trPr>
        <w:tc>
          <w:tcPr>
            <w:tcW w:w="7675" w:type="dxa"/>
            <w:shd w:val="clear" w:color="auto" w:fill="F2F2F2"/>
          </w:tcPr>
          <w:p>
            <w:pPr/>
            <w:r>
              <w:t xml:space="preserve">Punto solicitado</w:t>
            </w:r>
          </w:p>
        </w:tc>
        <w:tc>
          <w:tcPr>
            <w:tcW w:w="1684" w:type="dxa"/>
            <w:shd w:val="clear" w:color="auto" w:fill="F2F2F2"/>
          </w:tcPr>
          <w:p>
            <w:pPr/>
            <w:r>
              <w:t xml:space="preserve">Sección</w:t>
            </w:r>
          </w:p>
        </w:tc>
      </w:tr>
      <w:tr>
        <w:tc>
          <w:tcPr>
            <w:tcW w:w="7675" w:type="dxa"/>
          </w:tcPr>
          <w:p>
            <w:pPr/>
            <w:r>
              <w:t xml:space="preserve">Inventario del equipamiento tecnológico (servidores, comunicaciones, seguridad)</w:t>
            </w:r>
          </w:p>
        </w:tc>
        <w:tc>
          <w:tcPr>
            <w:tcW w:w="1684" w:type="dxa"/>
          </w:tcPr>
          <w:p>
            <w:pPr/>
            <w:r>
              <w:t xml:space="preserve">1</w:t>
            </w:r>
          </w:p>
        </w:tc>
      </w:tr>
      <w:tr>
        <w:tc>
          <w:tcPr>
            <w:tcW w:w="7675" w:type="dxa"/>
          </w:tcPr>
          <w:p>
            <w:pPr/>
            <w:r>
              <w:t xml:space="preserve">Arquitectura tecnológica de producción, desarrollo y pruebas</w:t>
            </w:r>
          </w:p>
        </w:tc>
        <w:tc>
          <w:tcPr>
            <w:tcW w:w="1684" w:type="dxa"/>
          </w:tcPr>
          <w:p>
            <w:pPr/>
            <w:r>
              <w:t xml:space="preserve">2</w:t>
            </w:r>
          </w:p>
        </w:tc>
      </w:tr>
      <w:tr>
        <w:tc>
          <w:tcPr>
            <w:tcW w:w="7675" w:type="dxa"/>
          </w:tcPr>
          <w:p>
            <w:pPr/>
            <w:r>
              <w:t xml:space="preserve">Arquitectura del sistema SAA</w:t>
            </w:r>
          </w:p>
        </w:tc>
        <w:tc>
          <w:tcPr>
            <w:tcW w:w="1684" w:type="dxa"/>
          </w:tcPr>
          <w:p>
            <w:pPr/>
            <w:r>
              <w:t xml:space="preserve">3</w:t>
            </w:r>
          </w:p>
        </w:tc>
      </w:tr>
      <w:tr>
        <w:tc>
          <w:tcPr>
            <w:tcW w:w="7675" w:type="dxa"/>
          </w:tcPr>
          <w:p>
            <w:pPr/>
            <w:r>
              <w:t xml:space="preserve">Inventario de módulos implementados</w:t>
            </w:r>
          </w:p>
        </w:tc>
        <w:tc>
          <w:tcPr>
            <w:tcW w:w="1684" w:type="dxa"/>
          </w:tcPr>
          <w:p>
            <w:pPr/>
            <w:r>
              <w:t xml:space="preserve">4</w:t>
            </w:r>
          </w:p>
        </w:tc>
      </w:tr>
      <w:tr>
        <w:tc>
          <w:tcPr>
            <w:tcW w:w="7675" w:type="dxa"/>
          </w:tcPr>
          <w:p>
            <w:pPr/>
            <w:r>
              <w:t xml:space="preserve">Listados de usuarios de base de datos, servidores y aplicación</w:t>
            </w:r>
          </w:p>
        </w:tc>
        <w:tc>
          <w:tcPr>
            <w:tcW w:w="1684" w:type="dxa"/>
          </w:tcPr>
          <w:p>
            <w:pPr/>
            <w:r>
              <w:t xml:space="preserve">5</w:t>
            </w:r>
          </w:p>
        </w:tc>
      </w:tr>
      <w:tr>
        <w:tc>
          <w:tcPr>
            <w:tcW w:w="7675" w:type="dxa"/>
          </w:tcPr>
          <w:p>
            <w:pPr/>
            <w:r>
              <w:t xml:space="preserve">Datos por completar y cómo obtenerlos</w:t>
            </w:r>
          </w:p>
        </w:tc>
        <w:tc>
          <w:tcPr>
            <w:tcW w:w="1684" w:type="dxa"/>
          </w:tcPr>
          <w:p>
            <w:pPr/>
            <w:r>
              <w:t xml:space="preserve">Anexo</w:t>
            </w:r>
          </w:p>
        </w:tc>
      </w:tr>
    </w:tbl>
    <w:p>
      <w:pPr/>
      <w:r>
        <w:rPr>
          <w:b/>
        </w:rPr>
        <w:t xml:space="preserve">Fuentes.</w:t>
      </w:r>
      <w:r>
        <w:t xml:space="preserve"> Lo técnico del sistema (componentes, versiones, módulos, cifras, modelo de seguridad) se midió sobre el código fuente en producción al 24 de octubre de 2026. Lo de los servidores sale de la bitácora de instalación de los ambientes del 13 y 14 de octubre de 2026 y del memorando de respuesta de TI de septiembre de 2026.</w:t>
      </w:r>
    </w:p>
    <w:p>
      <w:pPr/>
      <w:r>
        <w:rPr>
          <w:b/>
        </w:rPr>
        <w:t xml:space="preserve">Lo que falta.</w:t>
      </w:r>
      <w:r>
        <w:t xml:space="preserve"> Hay datos que solo tiene la entidad: números de serie, contratos de mantenimiento, equipos de red, licencias y nombres de las personas. Van marcados como </w:t>
      </w:r>
      <w:r>
        <w:rPr>
          <w:b/>
        </w:rPr>
        <w:t xml:space="preserve">[Completar]</w:t>
      </w:r>
      <w:r>
        <w:t xml:space="preserve">, y el Anexo dice de dónde sacar cada uno. Los listados de usuarios se generan con las consultas de solo lectura del Anexo y se adjuntan con fecha de corte. Este documento no incluye contraseñas ni secretos.</w:t>
      </w:r>
    </w:p>
    <w:p>
      <w:pPr>
        <w:pStyle w:val="Heading2"/>
      </w:pPr>
      <w:r>
        <w:t xml:space="preserve">1. Inventario del equipamiento tecnológico</w:t>
      </w:r>
    </w:p>
    <w:p>
      <w:pPr/>
      <w:r>
        <w:t xml:space="preserve">El SAA corre en </w:t>
      </w:r>
      <w:r>
        <w:rPr>
          <w:b/>
        </w:rPr>
        <w:t xml:space="preserve">dos servidores físicos de la entidad</w:t>
      </w:r>
      <w:r>
        <w:t xml:space="preserve">, ambos en la red interna 192.168.2.0/24. El </w:t>
      </w:r>
      <w:r>
        <w:rPr>
          <w:rStyle w:val="CodeChar"/>
        </w:rPr>
        <w:t xml:space="preserve">192.168.2.4</w:t>
      </w:r>
      <w:r>
        <w:t xml:space="preserve"> es producción y aloja también una copia de pruebas aislada («ASOPREP CUADRE»). El </w:t>
      </w:r>
      <w:r>
        <w:rPr>
          <w:rStyle w:val="CodeChar"/>
        </w:rPr>
        <w:t xml:space="preserve">192.168.2.3</w:t>
      </w:r>
      <w:r>
        <w:t xml:space="preserve"> (</w:t>
      </w:r>
      <w:r>
        <w:rPr>
          <w:rStyle w:val="CodeChar"/>
        </w:rPr>
        <w:t xml:space="preserve">SRVDEV1</w:t>
      </w:r>
      <w:r>
        <w:t xml:space="preserve">) es el servidor de pruebas y publica la capa de la aplicación móvil. El desarrollo se hace en equipos del proveedor, GAEMII NEXUS S.A.S.</w:t>
      </w:r>
    </w:p>
    <w:p>
      <w:pPr>
        <w:pStyle w:val="Heading3"/>
      </w:pPr>
      <w:r>
        <w:t xml:space="preserve">1.1. Servidores</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Nombre / IP</w:t>
            </w:r>
          </w:p>
        </w:tc>
        <w:tc>
          <w:tcPr>
            <w:tcW w:w="1170" w:type="dxa"/>
            <w:shd w:val="clear" w:color="auto" w:fill="F2F2F2"/>
          </w:tcPr>
          <w:p>
            <w:pPr/>
            <w:r>
              <w:t xml:space="preserve">Ambiente</w:t>
            </w:r>
          </w:p>
        </w:tc>
        <w:tc>
          <w:tcPr>
            <w:tcW w:w="1170" w:type="dxa"/>
            <w:shd w:val="clear" w:color="auto" w:fill="F2F2F2"/>
          </w:tcPr>
          <w:p>
            <w:pPr/>
            <w:r>
              <w:t xml:space="preserve">Marca y modelo</w:t>
            </w:r>
          </w:p>
        </w:tc>
        <w:tc>
          <w:tcPr>
            <w:tcW w:w="1170" w:type="dxa"/>
            <w:shd w:val="clear" w:color="auto" w:fill="F2F2F2"/>
          </w:tcPr>
          <w:p>
            <w:pPr/>
            <w:r>
              <w:t xml:space="preserve">Procesador</w:t>
            </w:r>
          </w:p>
        </w:tc>
        <w:tc>
          <w:tcPr>
            <w:tcW w:w="1170" w:type="dxa"/>
            <w:shd w:val="clear" w:color="auto" w:fill="F2F2F2"/>
          </w:tcPr>
          <w:p>
            <w:pPr/>
            <w:r>
              <w:t xml:space="preserve">Memoria</w:t>
            </w:r>
          </w:p>
        </w:tc>
        <w:tc>
          <w:tcPr>
            <w:tcW w:w="1170" w:type="dxa"/>
            <w:shd w:val="clear" w:color="auto" w:fill="F2F2F2"/>
          </w:tcPr>
          <w:p>
            <w:pPr/>
            <w:r>
              <w:t xml:space="preserve">Disco</w:t>
            </w:r>
          </w:p>
        </w:tc>
        <w:tc>
          <w:tcPr>
            <w:tcW w:w="1170" w:type="dxa"/>
            <w:shd w:val="clear" w:color="auto" w:fill="F2F2F2"/>
          </w:tcPr>
          <w:p>
            <w:pPr/>
            <w:r>
              <w:t xml:space="preserve">Redundancia</w:t>
            </w:r>
          </w:p>
        </w:tc>
        <w:tc>
          <w:tcPr>
            <w:tcW w:w="1170" w:type="dxa"/>
            <w:shd w:val="clear" w:color="auto" w:fill="F2F2F2"/>
          </w:tcPr>
          <w:p>
            <w:pPr/>
            <w:r>
              <w:t xml:space="preserve">Contrato de mantenimiento</w:t>
            </w:r>
          </w:p>
        </w:tc>
      </w:tr>
      <w:tr>
        <w:tc>
          <w:tcPr>
            <w:tcW w:w="1170" w:type="dxa"/>
          </w:tcPr>
          <w:p>
            <w:pPr/>
            <w:r>
              <w:t xml:space="preserve">[Completar hostname] · 192.168.2.4</w:t>
            </w:r>
          </w:p>
        </w:tc>
        <w:tc>
          <w:tcPr>
            <w:tcW w:w="1170" w:type="dxa"/>
          </w:tcPr>
          <w:p>
            <w:pPr/>
            <w:r>
              <w:t xml:space="preserve">Producción (+ copia de pruebas «CUADRE»)</w:t>
            </w:r>
          </w:p>
        </w:tc>
        <w:tc>
          <w:tcPr>
            <w:tcW w:w="1170" w:type="dxa"/>
          </w:tcPr>
          <w:p>
            <w:pPr/>
            <w:r>
              <w:t xml:space="preserve">Dell PowerEdge R350 ¹</w:t>
            </w:r>
          </w:p>
        </w:tc>
        <w:tc>
          <w:tcPr>
            <w:tcW w:w="1170" w:type="dxa"/>
          </w:tcPr>
          <w:p>
            <w:pPr/>
            <w:r>
              <w:t xml:space="preserve">Intel Xeon E-2314 (4 núcleos) ¹</w:t>
            </w:r>
          </w:p>
        </w:tc>
        <w:tc>
          <w:tcPr>
            <w:tcW w:w="1170" w:type="dxa"/>
          </w:tcPr>
          <w:p>
            <w:pPr/>
            <w:r>
              <w:t xml:space="preserve">16 GB ¹</w:t>
            </w:r>
          </w:p>
        </w:tc>
        <w:tc>
          <w:tcPr>
            <w:tcW w:w="1170" w:type="dxa"/>
          </w:tcPr>
          <w:p>
            <w:pPr/>
            <w:r>
              <w:t xml:space="preserve">2 TB ¹ · [Completar número y tipo de discos]</w:t>
            </w:r>
          </w:p>
        </w:tc>
        <w:tc>
          <w:tcPr>
            <w:tcW w:w="1170" w:type="dxa"/>
          </w:tcPr>
          <w:p>
            <w:pPr/>
            <w:r>
              <w:t xml:space="preserve">[Completar: RAID, fuentes de poder]</w:t>
            </w:r>
          </w:p>
        </w:tc>
        <w:tc>
          <w:tcPr>
            <w:tcW w:w="1170" w:type="dxa"/>
          </w:tcPr>
          <w:p>
            <w:pPr/>
            <w:r>
              <w:t xml:space="preserve">[Completar: garantía Dell / ProSupport, vigencia]</w:t>
            </w:r>
          </w:p>
        </w:tc>
      </w:tr>
      <w:tr>
        <w:tc>
          <w:tcPr>
            <w:tcW w:w="1170" w:type="dxa"/>
          </w:tcPr>
          <w:p>
            <w:pPr/>
            <w:r>
              <w:t xml:space="preserve">SRVDEV1 · 192.168.2.3</w:t>
            </w:r>
          </w:p>
        </w:tc>
        <w:tc>
          <w:tcPr>
            <w:tcW w:w="1170" w:type="dxa"/>
          </w:tcPr>
          <w:p>
            <w:pPr/>
            <w:r>
              <w:t xml:space="preserve">Pruebas + publicación de la app móvil</w:t>
            </w:r>
          </w:p>
        </w:tc>
        <w:tc>
          <w:tcPr>
            <w:tcW w:w="1170" w:type="dxa"/>
          </w:tcPr>
          <w:p>
            <w:pPr/>
            <w:r>
              <w:t xml:space="preserve">[Completar]</w:t>
            </w:r>
          </w:p>
        </w:tc>
        <w:tc>
          <w:tcPr>
            <w:tcW w:w="1170" w:type="dxa"/>
          </w:tcPr>
          <w:p>
            <w:pPr/>
            <w:r>
              <w:t xml:space="preserve">[Completar]</w:t>
            </w:r>
          </w:p>
        </w:tc>
        <w:tc>
          <w:tcPr>
            <w:tcW w:w="1170" w:type="dxa"/>
          </w:tcPr>
          <w:p>
            <w:pPr/>
            <w:r>
              <w:t xml:space="preserve">[Completar]</w:t>
            </w:r>
          </w:p>
        </w:tc>
        <w:tc>
          <w:tcPr>
            <w:tcW w:w="1170" w:type="dxa"/>
          </w:tcPr>
          <w:p>
            <w:pPr/>
            <w:r>
              <w:t xml:space="preserve">[Completar]</w:t>
            </w:r>
          </w:p>
        </w:tc>
        <w:tc>
          <w:tcPr>
            <w:tcW w:w="1170" w:type="dxa"/>
          </w:tcPr>
          <w:p>
            <w:pPr/>
            <w:r>
              <w:t xml:space="preserve">[Completar]</w:t>
            </w:r>
          </w:p>
        </w:tc>
        <w:tc>
          <w:tcPr>
            <w:tcW w:w="1170" w:type="dxa"/>
          </w:tcPr>
          <w:p>
            <w:pPr/>
            <w:r>
              <w:t xml:space="preserve">[Completar]</w:t>
            </w:r>
          </w:p>
        </w:tc>
      </w:tr>
      <w:tr>
        <w:tc>
          <w:tcPr>
            <w:tcW w:w="1170" w:type="dxa"/>
          </w:tcPr>
          <w:p>
            <w:pPr/>
            <w:r>
              <w:t xml:space="preserve">Equipos de desarrollo del proveedor</w:t>
            </w:r>
          </w:p>
        </w:tc>
        <w:tc>
          <w:tcPr>
            <w:tcW w:w="1170" w:type="dxa"/>
          </w:tcPr>
          <w:p>
            <w:pPr/>
            <w:r>
              <w:t xml:space="preserve">Desarrollo</w:t>
            </w:r>
          </w:p>
        </w:tc>
        <w:tc>
          <w:tcPr>
            <w:tcW w:w="1170" w:type="dxa"/>
          </w:tcPr>
          <w:p>
            <w:pPr/>
            <w:r>
              <w:t xml:space="preserve">Estaciones de trabajo de GAEMII NEXUS</w:t>
            </w:r>
          </w:p>
        </w:tc>
        <w:tc>
          <w:tcPr>
            <w:tcW w:w="1170" w:type="dxa"/>
          </w:tcPr>
          <w:p>
            <w:pPr/>
            <w:r>
              <w:t xml:space="preserve">[Completar proveedor]</w:t>
            </w:r>
          </w:p>
        </w:tc>
        <w:tc>
          <w:tcPr>
            <w:tcW w:w="1170" w:type="dxa"/>
          </w:tcPr>
          <w:p>
            <w:pPr/>
            <w:r>
              <w:t xml:space="preserve">[Completar]</w:t>
            </w:r>
          </w:p>
        </w:tc>
        <w:tc>
          <w:tcPr>
            <w:tcW w:w="1170" w:type="dxa"/>
          </w:tcPr>
          <w:p>
            <w:pPr/>
            <w:r>
              <w:t xml:space="preserve">[Completar]</w:t>
            </w:r>
          </w:p>
        </w:tc>
        <w:tc>
          <w:tcPr>
            <w:tcW w:w="1170" w:type="dxa"/>
          </w:tcPr>
          <w:p>
            <w:pPr/>
            <w:r>
              <w:t xml:space="preserve">No aplica (el código se respalda en repositorio Git remoto)</w:t>
            </w:r>
          </w:p>
        </w:tc>
        <w:tc>
          <w:tcPr>
            <w:tcW w:w="1170" w:type="dxa"/>
          </w:tcPr>
          <w:p>
            <w:pPr/>
            <w:r>
              <w:t xml:space="preserve">Propiedad del proveedor</w:t>
            </w:r>
          </w:p>
        </w:tc>
      </w:tr>
    </w:tbl>
    <w:p>
      <w:pPr/>
      <w:r>
        <w:t xml:space="preserve">¹ Según el memorando de TI de septiembre de 2026, que lo describe como «el servidor». Confirmar con la etiqueta del equipo que corresponde al 192.168.2.4.</w:t>
      </w:r>
    </w:p>
    <w:p>
      <w:pPr>
        <w:pStyle w:val="Heading3"/>
      </w:pPr>
      <w:r>
        <w:t xml:space="preserve">1.2. Software base por servidor</w:t>
      </w:r>
    </w:p>
    <w:tbl>
      <w:tblPr>
        <w:tblStyle w:val="TableGrid"/>
        <w:tblW w:w="0" w:type="auto"/>
        <w:tblLayout w:type="fixed"/>
        <w:tblLook w:val="04A0" w:firstRow="1" w:lastRow="0" w:firstColumn="0" w:lastColumn="0" w:noHBand="0" w:noVBand="1"/>
      </w:tblPr>
      <w:tblGrid>
        <w:gridCol w:w="1424"/>
        <w:gridCol w:w="3233"/>
        <w:gridCol w:w="1556"/>
        <w:gridCol w:w="3147"/>
      </w:tblGrid>
      <w:tr>
        <w:trPr>
          <w:tblHeader/>
        </w:trPr>
        <w:tc>
          <w:tcPr>
            <w:tcW w:w="1424" w:type="dxa"/>
            <w:shd w:val="clear" w:color="auto" w:fill="F2F2F2"/>
          </w:tcPr>
          <w:p>
            <w:pPr/>
            <w:r>
              <w:t xml:space="preserve">Servidor</w:t>
            </w:r>
          </w:p>
        </w:tc>
        <w:tc>
          <w:tcPr>
            <w:tcW w:w="3233" w:type="dxa"/>
            <w:shd w:val="clear" w:color="auto" w:fill="F2F2F2"/>
          </w:tcPr>
          <w:p>
            <w:pPr/>
            <w:r>
              <w:t xml:space="preserve">Software</w:t>
            </w:r>
          </w:p>
        </w:tc>
        <w:tc>
          <w:tcPr>
            <w:tcW w:w="1556" w:type="dxa"/>
            <w:shd w:val="clear" w:color="auto" w:fill="F2F2F2"/>
          </w:tcPr>
          <w:p>
            <w:pPr/>
            <w:r>
              <w:t xml:space="preserve">Versión</w:t>
            </w:r>
          </w:p>
        </w:tc>
        <w:tc>
          <w:tcPr>
            <w:tcW w:w="3147" w:type="dxa"/>
            <w:shd w:val="clear" w:color="auto" w:fill="F2F2F2"/>
          </w:tcPr>
          <w:p>
            <w:pPr/>
            <w:r>
              <w:t xml:space="preserve">Uso</w:t>
            </w:r>
          </w:p>
        </w:tc>
      </w:tr>
      <w:tr>
        <w:tc>
          <w:tcPr>
            <w:tcW w:w="1424" w:type="dxa"/>
          </w:tcPr>
          <w:p>
            <w:pPr/>
            <w:r>
              <w:t xml:space="preserve">192.168.2.4</w:t>
            </w:r>
          </w:p>
        </w:tc>
        <w:tc>
          <w:tcPr>
            <w:tcW w:w="3233" w:type="dxa"/>
          </w:tcPr>
          <w:p>
            <w:pPr/>
            <w:r>
              <w:t xml:space="preserve">Windows Server</w:t>
            </w:r>
          </w:p>
        </w:tc>
        <w:tc>
          <w:tcPr>
            <w:tcW w:w="1556" w:type="dxa"/>
          </w:tcPr>
          <w:p>
            <w:pPr/>
            <w:r>
              <w:t xml:space="preserve">2025 Standard ¹</w:t>
            </w:r>
          </w:p>
        </w:tc>
        <w:tc>
          <w:tcPr>
            <w:tcW w:w="3147" w:type="dxa"/>
          </w:tcPr>
          <w:p>
            <w:pPr/>
            <w:r>
              <w:t xml:space="preserve">Sistema operativo</w:t>
            </w:r>
          </w:p>
        </w:tc>
      </w:tr>
      <w:tr>
        <w:tc>
          <w:tcPr>
            <w:tcW w:w="1424" w:type="dxa"/>
          </w:tcPr>
          <w:p>
            <w:pPr/>
            <w:r>
              <w:t xml:space="preserve">192.168.2.4</w:t>
            </w:r>
          </w:p>
        </w:tc>
        <w:tc>
          <w:tcPr>
            <w:tcW w:w="3233" w:type="dxa"/>
          </w:tcPr>
          <w:p>
            <w:pPr/>
            <w:r>
              <w:t xml:space="preserve">Docker Desktop</w:t>
            </w:r>
          </w:p>
        </w:tc>
        <w:tc>
          <w:tcPr>
            <w:tcW w:w="1556" w:type="dxa"/>
          </w:tcPr>
          <w:p>
            <w:pPr/>
            <w:r>
              <w:t xml:space="preserve">[Completar: </w:t>
            </w:r>
            <w:r>
              <w:rPr>
                <w:rStyle w:val="CodeChar"/>
              </w:rPr>
              <w:t xml:space="preserve">docker version</w:t>
            </w:r>
            <w:r>
              <w:t xml:space="preserve">]</w:t>
            </w:r>
          </w:p>
        </w:tc>
        <w:tc>
          <w:tcPr>
            <w:tcW w:w="3147" w:type="dxa"/>
          </w:tcPr>
          <w:p>
            <w:pPr/>
            <w:r>
              <w:t xml:space="preserve">Ejecuta la base de datos en contenedor</w:t>
            </w:r>
          </w:p>
        </w:tc>
      </w:tr>
      <w:tr>
        <w:tc>
          <w:tcPr>
            <w:tcW w:w="1424" w:type="dxa"/>
          </w:tcPr>
          <w:p>
            <w:pPr/>
            <w:r>
              <w:t xml:space="preserve">192.168.2.4</w:t>
            </w:r>
          </w:p>
        </w:tc>
        <w:tc>
          <w:tcPr>
            <w:tcW w:w="3233" w:type="dxa"/>
          </w:tcPr>
          <w:p>
            <w:pPr/>
            <w:r>
              <w:t xml:space="preserve">Oracle Database 23ai Free (contenedor </w:t>
            </w:r>
            <w:r>
              <w:rPr>
                <w:rStyle w:val="CodeChar"/>
              </w:rPr>
              <w:t xml:space="preserve">saa-oracle-23ai</w:t>
            </w:r>
            <w:r>
              <w:t xml:space="preserve">, PDB </w:t>
            </w:r>
            <w:r>
              <w:rPr>
                <w:rStyle w:val="CodeChar"/>
              </w:rPr>
              <w:t xml:space="preserve">FREEPDB1</w:t>
            </w:r>
            <w:r>
              <w:t xml:space="preserve">, puerto 1521)</w:t>
            </w:r>
          </w:p>
        </w:tc>
        <w:tc>
          <w:tcPr>
            <w:tcW w:w="1556" w:type="dxa"/>
          </w:tcPr>
          <w:p>
            <w:pPr/>
            <w:r>
              <w:t xml:space="preserve">23ai Free · [Completar versión exacta: </w:t>
            </w:r>
            <w:r>
              <w:rPr>
                <w:rStyle w:val="CodeChar"/>
              </w:rPr>
              <w:t xml:space="preserve">SELECT banner_full FROM v$version</w:t>
            </w:r>
            <w:r>
              <w:t xml:space="preserve">]</w:t>
            </w:r>
          </w:p>
        </w:tc>
        <w:tc>
          <w:tcPr>
            <w:tcW w:w="3147" w:type="dxa"/>
          </w:tcPr>
          <w:p>
            <w:pPr/>
            <w:r>
              <w:t xml:space="preserve">Base de datos de producción</w:t>
            </w:r>
          </w:p>
        </w:tc>
      </w:tr>
      <w:tr>
        <w:tc>
          <w:tcPr>
            <w:tcW w:w="1424" w:type="dxa"/>
          </w:tcPr>
          <w:p>
            <w:pPr/>
            <w:r>
              <w:t xml:space="preserve">192.168.2.4</w:t>
            </w:r>
          </w:p>
        </w:tc>
        <w:tc>
          <w:tcPr>
            <w:tcW w:w="3233" w:type="dxa"/>
          </w:tcPr>
          <w:p>
            <w:pPr/>
            <w:r>
              <w:t xml:space="preserve">WildFly (</w:t>
            </w:r>
            <w:r>
              <w:rPr>
                <w:rStyle w:val="CodeChar"/>
              </w:rPr>
              <w:t xml:space="preserve">D:\wildfly38</w:t>
            </w:r>
            <w:r>
              <w:t xml:space="preserve">, puerto 8080)</w:t>
            </w:r>
          </w:p>
        </w:tc>
        <w:tc>
          <w:tcPr>
            <w:tcW w:w="1556" w:type="dxa"/>
          </w:tcPr>
          <w:p>
            <w:pPr/>
            <w:r>
              <w:t xml:space="preserve">38</w:t>
            </w:r>
          </w:p>
        </w:tc>
        <w:tc>
          <w:tcPr>
            <w:tcW w:w="3147" w:type="dxa"/>
          </w:tcPr>
          <w:p>
            <w:pPr/>
            <w:r>
              <w:t xml:space="preserve">Servidor de aplicaciones de producción: backend </w:t>
            </w:r>
            <w:r>
              <w:rPr>
                <w:rStyle w:val="CodeChar"/>
              </w:rPr>
              <w:t xml:space="preserve">SaaBE</w:t>
            </w:r>
            <w:r>
              <w:t xml:space="preserve"> y frontend</w:t>
            </w:r>
          </w:p>
        </w:tc>
      </w:tr>
      <w:tr>
        <w:tc>
          <w:tcPr>
            <w:tcW w:w="1424" w:type="dxa"/>
          </w:tcPr>
          <w:p>
            <w:pPr/>
            <w:r>
              <w:t xml:space="preserve">192.168.2.4</w:t>
            </w:r>
          </w:p>
        </w:tc>
        <w:tc>
          <w:tcPr>
            <w:tcW w:w="3233" w:type="dxa"/>
          </w:tcPr>
          <w:p>
            <w:pPr/>
            <w:r>
              <w:t xml:space="preserve">Java (JDK)</w:t>
            </w:r>
          </w:p>
        </w:tc>
        <w:tc>
          <w:tcPr>
            <w:tcW w:w="1556" w:type="dxa"/>
          </w:tcPr>
          <w:p>
            <w:pPr/>
            <w:r>
              <w:t xml:space="preserve">21 · [Completar versión exacta: </w:t>
            </w:r>
            <w:r>
              <w:rPr>
                <w:rStyle w:val="CodeChar"/>
              </w:rPr>
              <w:t xml:space="preserve">java -version</w:t>
            </w:r>
            <w:r>
              <w:t xml:space="preserve">]</w:t>
            </w:r>
          </w:p>
        </w:tc>
        <w:tc>
          <w:tcPr>
            <w:tcW w:w="3147" w:type="dxa"/>
          </w:tcPr>
          <w:p>
            <w:pPr/>
            <w:r>
              <w:t xml:space="preserve">Plataforma de WildFly</w:t>
            </w:r>
          </w:p>
        </w:tc>
      </w:tr>
      <w:tr>
        <w:tc>
          <w:tcPr>
            <w:tcW w:w="1424" w:type="dxa"/>
          </w:tcPr>
          <w:p>
            <w:pPr/>
            <w:r>
              <w:t xml:space="preserve">192.168.2.4</w:t>
            </w:r>
          </w:p>
        </w:tc>
        <w:tc>
          <w:tcPr>
            <w:tcW w:w="3233" w:type="dxa"/>
          </w:tcPr>
          <w:p>
            <w:pPr/>
            <w:r>
              <w:t xml:space="preserve">Oracle Database 23ai Free (contenedor </w:t>
            </w:r>
            <w:r>
              <w:rPr>
                <w:rStyle w:val="CodeChar"/>
              </w:rPr>
              <w:t xml:space="preserve">saa-pruebas</w:t>
            </w:r>
            <w:r>
              <w:t xml:space="preserve">, puerto 1531)</w:t>
            </w:r>
          </w:p>
        </w:tc>
        <w:tc>
          <w:tcPr>
            <w:tcW w:w="1556" w:type="dxa"/>
          </w:tcPr>
          <w:p>
            <w:pPr/>
            <w:r>
              <w:t xml:space="preserve">23ai Free</w:t>
            </w:r>
          </w:p>
        </w:tc>
        <w:tc>
          <w:tcPr>
            <w:tcW w:w="3147" w:type="dxa"/>
          </w:tcPr>
          <w:p>
            <w:pPr/>
            <w:r>
              <w:t xml:space="preserve">Copia de producción para pruebas («CUADRE»)</w:t>
            </w:r>
          </w:p>
        </w:tc>
      </w:tr>
      <w:tr>
        <w:tc>
          <w:tcPr>
            <w:tcW w:w="1424" w:type="dxa"/>
          </w:tcPr>
          <w:p>
            <w:pPr/>
            <w:r>
              <w:t xml:space="preserve">192.168.2.4</w:t>
            </w:r>
          </w:p>
        </w:tc>
        <w:tc>
          <w:tcPr>
            <w:tcW w:w="3233" w:type="dxa"/>
          </w:tcPr>
          <w:p>
            <w:pPr/>
            <w:r>
              <w:t xml:space="preserve">WildFly de pruebas (</w:t>
            </w:r>
            <w:r>
              <w:rPr>
                <w:rStyle w:val="CodeChar"/>
              </w:rPr>
              <w:t xml:space="preserve">D:\wildfly38-pruebas</w:t>
            </w:r>
            <w:r>
              <w:t xml:space="preserve">, puertos 8180 / 8543 / 10090)</w:t>
            </w:r>
          </w:p>
        </w:tc>
        <w:tc>
          <w:tcPr>
            <w:tcW w:w="1556" w:type="dxa"/>
          </w:tcPr>
          <w:p>
            <w:pPr/>
            <w:r>
              <w:t xml:space="preserve">38</w:t>
            </w:r>
          </w:p>
        </w:tc>
        <w:tc>
          <w:tcPr>
            <w:tcW w:w="3147" w:type="dxa"/>
          </w:tcPr>
          <w:p>
            <w:pPr/>
            <w:r>
              <w:t xml:space="preserve">Aplicación de pruebas sobre la copia</w:t>
            </w:r>
          </w:p>
        </w:tc>
      </w:tr>
      <w:tr>
        <w:tc>
          <w:tcPr>
            <w:tcW w:w="1424" w:type="dxa"/>
          </w:tcPr>
          <w:p>
            <w:pPr/>
            <w:r>
              <w:t xml:space="preserve">192.168.2.4</w:t>
            </w:r>
          </w:p>
        </w:tc>
        <w:tc>
          <w:tcPr>
            <w:tcW w:w="3233" w:type="dxa"/>
          </w:tcPr>
          <w:p>
            <w:pPr/>
            <w:r>
              <w:rPr>
                <w:rStyle w:val="CodeChar"/>
              </w:rPr>
              <w:t xml:space="preserve">seguridad2.jar</w:t>
            </w:r>
            <w:r>
              <w:t xml:space="preserve"> (</w:t>
            </w:r>
            <w:r>
              <w:rPr>
                <w:rStyle w:val="CodeChar"/>
              </w:rPr>
              <w:t xml:space="preserve">D:\Seguridad\Seguridad2</w:t>
            </w:r>
            <w:r>
              <w:t xml:space="preserve">)</w:t>
            </w:r>
          </w:p>
        </w:tc>
        <w:tc>
          <w:tcPr>
            <w:tcW w:w="1556" w:type="dxa"/>
          </w:tcPr>
          <w:p>
            <w:pPr/>
            <w:r>
              <w:t xml:space="preserve">[Completar]</w:t>
            </w:r>
          </w:p>
        </w:tc>
        <w:tc>
          <w:tcPr>
            <w:tcW w:w="3147" w:type="dxa"/>
          </w:tcPr>
          <w:p>
            <w:pPr/>
            <w:r>
              <w:t xml:space="preserve">Aplicativo ajeno al SAA que también conecta a la base de producción. [Completar: qué es y quién lo administra]</w:t>
            </w:r>
          </w:p>
        </w:tc>
      </w:tr>
      <w:tr>
        <w:tc>
          <w:tcPr>
            <w:tcW w:w="1424" w:type="dxa"/>
          </w:tcPr>
          <w:p>
            <w:pPr/>
            <w:r>
              <w:t xml:space="preserve">192.168.2.3</w:t>
            </w:r>
          </w:p>
        </w:tc>
        <w:tc>
          <w:tcPr>
            <w:tcW w:w="3233" w:type="dxa"/>
          </w:tcPr>
          <w:p>
            <w:pPr/>
            <w:r>
              <w:t xml:space="preserve">Sistema operativo</w:t>
            </w:r>
          </w:p>
        </w:tc>
        <w:tc>
          <w:tcPr>
            <w:tcW w:w="1556" w:type="dxa"/>
          </w:tcPr>
          <w:p>
            <w:pPr/>
            <w:r>
              <w:t xml:space="preserve">[Completar]</w:t>
            </w:r>
          </w:p>
        </w:tc>
        <w:tc>
          <w:tcPr>
            <w:tcW w:w="3147" w:type="dxa"/>
          </w:tcPr>
          <w:p>
            <w:pPr/>
          </w:p>
        </w:tc>
      </w:tr>
      <w:tr>
        <w:tc>
          <w:tcPr>
            <w:tcW w:w="1424" w:type="dxa"/>
          </w:tcPr>
          <w:p>
            <w:pPr/>
            <w:r>
              <w:t xml:space="preserve">192.168.2.3</w:t>
            </w:r>
          </w:p>
        </w:tc>
        <w:tc>
          <w:tcPr>
            <w:tcW w:w="3233" w:type="dxa"/>
          </w:tcPr>
          <w:p>
            <w:pPr/>
            <w:r>
              <w:t xml:space="preserve">Docker</w:t>
            </w:r>
          </w:p>
        </w:tc>
        <w:tc>
          <w:tcPr>
            <w:tcW w:w="1556" w:type="dxa"/>
          </w:tcPr>
          <w:p>
            <w:pPr/>
            <w:r>
              <w:t xml:space="preserve">[Completar]</w:t>
            </w:r>
          </w:p>
        </w:tc>
        <w:tc>
          <w:tcPr>
            <w:tcW w:w="3147" w:type="dxa"/>
          </w:tcPr>
          <w:p>
            <w:pPr/>
            <w:r>
              <w:t xml:space="preserve">Contenedores de base de datos</w:t>
            </w:r>
          </w:p>
        </w:tc>
      </w:tr>
      <w:tr>
        <w:tc>
          <w:tcPr>
            <w:tcW w:w="1424" w:type="dxa"/>
          </w:tcPr>
          <w:p>
            <w:pPr/>
            <w:r>
              <w:t xml:space="preserve">192.168.2.3</w:t>
            </w:r>
          </w:p>
        </w:tc>
        <w:tc>
          <w:tcPr>
            <w:tcW w:w="3233" w:type="dxa"/>
          </w:tcPr>
          <w:p>
            <w:pPr/>
            <w:r>
              <w:t xml:space="preserve">Oracle Database 23ai Free (contenedor </w:t>
            </w:r>
            <w:r>
              <w:rPr>
                <w:rStyle w:val="CodeChar"/>
              </w:rPr>
              <w:t xml:space="preserve">saa-pruebas</w:t>
            </w:r>
            <w:r>
              <w:t xml:space="preserve">, puerto 1531)</w:t>
            </w:r>
          </w:p>
        </w:tc>
        <w:tc>
          <w:tcPr>
            <w:tcW w:w="1556" w:type="dxa"/>
          </w:tcPr>
          <w:p>
            <w:pPr/>
            <w:r>
              <w:t xml:space="preserve">23ai Free</w:t>
            </w:r>
          </w:p>
        </w:tc>
        <w:tc>
          <w:tcPr>
            <w:tcW w:w="3147" w:type="dxa"/>
          </w:tcPr>
          <w:p>
            <w:pPr/>
            <w:r>
              <w:t xml:space="preserve">Base de pruebas, clonada desde producción por Data Pump</w:t>
            </w:r>
          </w:p>
        </w:tc>
      </w:tr>
      <w:tr>
        <w:tc>
          <w:tcPr>
            <w:tcW w:w="1424" w:type="dxa"/>
          </w:tcPr>
          <w:p>
            <w:pPr/>
            <w:r>
              <w:t xml:space="preserve">192.168.2.3</w:t>
            </w:r>
          </w:p>
        </w:tc>
        <w:tc>
          <w:tcPr>
            <w:tcW w:w="3233" w:type="dxa"/>
          </w:tcPr>
          <w:p>
            <w:pPr/>
            <w:r>
              <w:t xml:space="preserve">WildFly de pruebas (puerto 8180)</w:t>
            </w:r>
          </w:p>
        </w:tc>
        <w:tc>
          <w:tcPr>
            <w:tcW w:w="1556" w:type="dxa"/>
          </w:tcPr>
          <w:p>
            <w:pPr/>
            <w:r>
              <w:t xml:space="preserve">38</w:t>
            </w:r>
          </w:p>
        </w:tc>
        <w:tc>
          <w:tcPr>
            <w:tcW w:w="3147" w:type="dxa"/>
          </w:tcPr>
          <w:p>
            <w:pPr/>
            <w:r>
              <w:t xml:space="preserve">Aplicación de pruebas «ASOPREP PRUEBAS»</w:t>
            </w:r>
          </w:p>
        </w:tc>
      </w:tr>
      <w:tr>
        <w:tc>
          <w:tcPr>
            <w:tcW w:w="1424" w:type="dxa"/>
          </w:tcPr>
          <w:p>
            <w:pPr/>
            <w:r>
              <w:t xml:space="preserve">192.168.2.3</w:t>
            </w:r>
          </w:p>
        </w:tc>
        <w:tc>
          <w:tcPr>
            <w:tcW w:w="3233" w:type="dxa"/>
          </w:tcPr>
          <w:p>
            <w:pPr/>
            <w:r>
              <w:rPr>
                <w:rStyle w:val="CodeChar"/>
              </w:rPr>
              <w:t xml:space="preserve">SaaMovilBE</w:t>
            </w:r>
            <w:r>
              <w:t xml:space="preserve"> (WAR de borde)</w:t>
            </w:r>
          </w:p>
        </w:tc>
        <w:tc>
          <w:tcPr>
            <w:tcW w:w="1556" w:type="dxa"/>
          </w:tcPr>
          <w:p>
            <w:pPr/>
            <w:r>
              <w:t xml:space="preserve">[Completar]</w:t>
            </w:r>
          </w:p>
        </w:tc>
        <w:tc>
          <w:tcPr>
            <w:tcW w:w="3147" w:type="dxa"/>
          </w:tcPr>
          <w:p>
            <w:pPr/>
            <w:r>
              <w:t xml:space="preserve">Capa de publicación de la app móvil hacia internet</w:t>
            </w:r>
          </w:p>
        </w:tc>
      </w:tr>
      <w:tr>
        <w:tc>
          <w:tcPr>
            <w:tcW w:w="1424" w:type="dxa"/>
          </w:tcPr>
          <w:p>
            <w:pPr/>
            <w:r>
              <w:t xml:space="preserve">192.168.2.3</w:t>
            </w:r>
          </w:p>
        </w:tc>
        <w:tc>
          <w:tcPr>
            <w:tcW w:w="3233" w:type="dxa"/>
          </w:tcPr>
          <w:p>
            <w:pPr/>
            <w:r>
              <w:t xml:space="preserve">Contenedores </w:t>
            </w:r>
            <w:r>
              <w:rPr>
                <w:rStyle w:val="CodeChar"/>
              </w:rPr>
              <w:t xml:space="preserve">asoprep-*</w:t>
            </w:r>
            <w:r>
              <w:t xml:space="preserve"> (.NET + SQL Server)</w:t>
            </w:r>
          </w:p>
        </w:tc>
        <w:tc>
          <w:tcPr>
            <w:tcW w:w="1556" w:type="dxa"/>
          </w:tcPr>
          <w:p>
            <w:pPr/>
            <w:r>
              <w:t xml:space="preserve">[Completar]</w:t>
            </w:r>
          </w:p>
        </w:tc>
        <w:tc>
          <w:tcPr>
            <w:tcW w:w="3147" w:type="dxa"/>
          </w:tcPr>
          <w:p>
            <w:pPr/>
            <w:r>
              <w:t xml:space="preserve">Aplicación anterior, </w:t>
            </w:r>
            <w:r>
              <w:rPr>
                <w:b/>
              </w:rPr>
              <w:t xml:space="preserve">apagada</w:t>
            </w:r>
            <w:r>
              <w:t xml:space="preserve">; no forma parte del SAA</w:t>
            </w:r>
          </w:p>
        </w:tc>
      </w:tr>
      <w:tr>
        <w:tc>
          <w:tcPr>
            <w:tcW w:w="1424" w:type="dxa"/>
          </w:tcPr>
          <w:p>
            <w:pPr/>
            <w:r>
              <w:t xml:space="preserve">Desarrollo</w:t>
            </w:r>
          </w:p>
        </w:tc>
        <w:tc>
          <w:tcPr>
            <w:tcW w:w="3233" w:type="dxa"/>
          </w:tcPr>
          <w:p>
            <w:pPr/>
            <w:r>
              <w:t xml:space="preserve">JDK 21.0.8, Maven 3.9.8, Node.js 22, Eclipse + WildFly 38 local, Oracle 23ai Free en Docker</w:t>
            </w:r>
          </w:p>
        </w:tc>
        <w:tc>
          <w:tcPr>
            <w:tcW w:w="1556" w:type="dxa"/>
          </w:tcPr>
          <w:p>
            <w:pPr/>
            <w:r>
              <w:t xml:space="preserve">—</w:t>
            </w:r>
          </w:p>
        </w:tc>
        <w:tc>
          <w:tcPr>
            <w:tcW w:w="3147" w:type="dxa"/>
          </w:tcPr>
          <w:p>
            <w:pPr/>
            <w:r>
              <w:t xml:space="preserve">Construcción y pruebas del proveedor</w:t>
            </w:r>
          </w:p>
        </w:tc>
      </w:tr>
      <w:tr>
        <w:tc>
          <w:tcPr>
            <w:tcW w:w="1424" w:type="dxa"/>
          </w:tcPr>
          <w:p>
            <w:pPr/>
            <w:r>
              <w:t xml:space="preserve">Desarrollo</w:t>
            </w:r>
          </w:p>
        </w:tc>
        <w:tc>
          <w:tcPr>
            <w:tcW w:w="3233" w:type="dxa"/>
          </w:tcPr>
          <w:p>
            <w:pPr/>
            <w:r>
              <w:t xml:space="preserve">Git (GitHub, organización </w:t>
            </w:r>
            <w:r>
              <w:rPr>
                <w:rStyle w:val="CodeChar"/>
              </w:rPr>
              <w:t xml:space="preserve">gaeminexus</w:t>
            </w:r>
            <w:r>
              <w:t xml:space="preserve">, repositorios </w:t>
            </w:r>
            <w:r>
              <w:rPr>
                <w:rStyle w:val="CodeChar"/>
              </w:rPr>
              <w:t xml:space="preserve">saaBE</w:t>
            </w:r>
            <w:r>
              <w:t xml:space="preserve"> y </w:t>
            </w:r>
            <w:r>
              <w:rPr>
                <w:rStyle w:val="CodeChar"/>
              </w:rPr>
              <w:t xml:space="preserve">saaFE</w:t>
            </w:r>
            <w:r>
              <w:t xml:space="preserve">)</w:t>
            </w:r>
          </w:p>
        </w:tc>
        <w:tc>
          <w:tcPr>
            <w:tcW w:w="1556" w:type="dxa"/>
          </w:tcPr>
          <w:p>
            <w:pPr/>
            <w:r>
              <w:t xml:space="preserve">—</w:t>
            </w:r>
          </w:p>
        </w:tc>
        <w:tc>
          <w:tcPr>
            <w:tcW w:w="3147" w:type="dxa"/>
          </w:tcPr>
          <w:p>
            <w:pPr/>
            <w:r>
              <w:t xml:space="preserve">Control de versiones del código fuente</w:t>
            </w:r>
          </w:p>
        </w:tc>
      </w:tr>
    </w:tbl>
    <w:p>
      <w:pPr>
        <w:pStyle w:val="Heading3"/>
      </w:pPr>
      <w:r>
        <w:t xml:space="preserve">1.3. Equipos de comunicaciones y seguridad</w:t>
      </w:r>
    </w:p>
    <w:p>
      <w:pPr/>
      <w:r>
        <w:t xml:space="preserve">En la documentación del proyecto solo consta el </w:t>
      </w:r>
      <w:r>
        <w:rPr>
          <w:b/>
        </w:rPr>
        <w:t xml:space="preserve">firewall de Windows</w:t>
      </w:r>
      <w:r>
        <w:t xml:space="preserve"> de cada servidor. El 192.168.2.4 acepta el puerto 8080 solo desde el 192.168.2.3 y la red interna; el 192.168.2.3 abre el 8180, y la consola de administración de WildFly queda solo en local. Los demás equipos los debe inventariar la entidad.</w:t>
      </w:r>
    </w:p>
    <w:tbl>
      <w:tblPr>
        <w:tblStyle w:val="TableGrid"/>
        <w:tblW w:w="0" w:type="auto"/>
        <w:tblLayout w:type="fixed"/>
        <w:tblLook w:val="04A0" w:firstRow="1" w:lastRow="0" w:firstColumn="0" w:lastColumn="0" w:noHBand="0" w:noVBand="1"/>
      </w:tblPr>
      <w:tblGrid>
        <w:gridCol w:w="2348"/>
        <w:gridCol w:w="1470"/>
        <w:gridCol w:w="2278"/>
        <w:gridCol w:w="1470"/>
        <w:gridCol w:w="1794"/>
      </w:tblGrid>
      <w:tr>
        <w:trPr>
          <w:tblHeader/>
        </w:trPr>
        <w:tc>
          <w:tcPr>
            <w:tcW w:w="2348" w:type="dxa"/>
            <w:shd w:val="clear" w:color="auto" w:fill="F2F2F2"/>
          </w:tcPr>
          <w:p>
            <w:pPr/>
            <w:r>
              <w:t xml:space="preserve">Equipo / servicio</w:t>
            </w:r>
          </w:p>
        </w:tc>
        <w:tc>
          <w:tcPr>
            <w:tcW w:w="1470" w:type="dxa"/>
            <w:shd w:val="clear" w:color="auto" w:fill="F2F2F2"/>
          </w:tcPr>
          <w:p>
            <w:pPr/>
            <w:r>
              <w:t xml:space="preserve">Marca y modelo</w:t>
            </w:r>
          </w:p>
        </w:tc>
        <w:tc>
          <w:tcPr>
            <w:tcW w:w="2278" w:type="dxa"/>
            <w:shd w:val="clear" w:color="auto" w:fill="F2F2F2"/>
          </w:tcPr>
          <w:p>
            <w:pPr/>
            <w:r>
              <w:t xml:space="preserve">Características</w:t>
            </w:r>
          </w:p>
        </w:tc>
        <w:tc>
          <w:tcPr>
            <w:tcW w:w="1470" w:type="dxa"/>
            <w:shd w:val="clear" w:color="auto" w:fill="F2F2F2"/>
          </w:tcPr>
          <w:p>
            <w:pPr/>
            <w:r>
              <w:t xml:space="preserve">Software / firmware</w:t>
            </w:r>
          </w:p>
        </w:tc>
        <w:tc>
          <w:tcPr>
            <w:tcW w:w="1794" w:type="dxa"/>
            <w:shd w:val="clear" w:color="auto" w:fill="F2F2F2"/>
          </w:tcPr>
          <w:p>
            <w:pPr/>
            <w:r>
              <w:t xml:space="preserve">Contrato de mantenimiento</w:t>
            </w:r>
          </w:p>
        </w:tc>
      </w:tr>
      <w:tr>
        <w:tc>
          <w:tcPr>
            <w:tcW w:w="2348" w:type="dxa"/>
          </w:tcPr>
          <w:p>
            <w:pPr/>
            <w:r>
              <w:t xml:space="preserve">Firewall perimetral</w:t>
            </w:r>
          </w:p>
        </w:tc>
        <w:tc>
          <w:tcPr>
            <w:tcW w:w="1470" w:type="dxa"/>
          </w:tcPr>
          <w:p>
            <w:pPr/>
            <w:r>
              <w:t xml:space="preserve">[Completar]</w:t>
            </w:r>
          </w:p>
        </w:tc>
        <w:tc>
          <w:tcPr>
            <w:tcW w:w="2278" w:type="dxa"/>
          </w:tcPr>
          <w:p>
            <w:pPr/>
            <w:r>
              <w:t xml:space="preserve">[Completar]</w:t>
            </w:r>
          </w:p>
        </w:tc>
        <w:tc>
          <w:tcPr>
            <w:tcW w:w="1470" w:type="dxa"/>
          </w:tcPr>
          <w:p>
            <w:pPr/>
            <w:r>
              <w:t xml:space="preserve">[Completar]</w:t>
            </w:r>
          </w:p>
        </w:tc>
        <w:tc>
          <w:tcPr>
            <w:tcW w:w="1794" w:type="dxa"/>
          </w:tcPr>
          <w:p>
            <w:pPr/>
            <w:r>
              <w:t xml:space="preserve">[Completar]</w:t>
            </w:r>
          </w:p>
        </w:tc>
      </w:tr>
      <w:tr>
        <w:tc>
          <w:tcPr>
            <w:tcW w:w="2348" w:type="dxa"/>
          </w:tcPr>
          <w:p>
            <w:pPr/>
            <w:r>
              <w:t xml:space="preserve">Router / enlace de internet</w:t>
            </w:r>
          </w:p>
        </w:tc>
        <w:tc>
          <w:tcPr>
            <w:tcW w:w="1470" w:type="dxa"/>
          </w:tcPr>
          <w:p>
            <w:pPr/>
            <w:r>
              <w:t xml:space="preserve">[Completar: proveedor de internet]</w:t>
            </w:r>
          </w:p>
        </w:tc>
        <w:tc>
          <w:tcPr>
            <w:tcW w:w="2278" w:type="dxa"/>
          </w:tcPr>
          <w:p>
            <w:pPr/>
            <w:r>
              <w:t xml:space="preserve">[Completar: ancho de banda, IP pública]</w:t>
            </w:r>
          </w:p>
        </w:tc>
        <w:tc>
          <w:tcPr>
            <w:tcW w:w="1470" w:type="dxa"/>
          </w:tcPr>
          <w:p>
            <w:pPr/>
            <w:r>
              <w:t xml:space="preserve">[Completar]</w:t>
            </w:r>
          </w:p>
        </w:tc>
        <w:tc>
          <w:tcPr>
            <w:tcW w:w="1794" w:type="dxa"/>
          </w:tcPr>
          <w:p>
            <w:pPr/>
            <w:r>
              <w:t xml:space="preserve">[Completar]</w:t>
            </w:r>
          </w:p>
        </w:tc>
      </w:tr>
      <w:tr>
        <w:tc>
          <w:tcPr>
            <w:tcW w:w="2348" w:type="dxa"/>
          </w:tcPr>
          <w:p>
            <w:pPr/>
            <w:r>
              <w:t xml:space="preserve">Switch(es) de la red interna</w:t>
            </w:r>
          </w:p>
        </w:tc>
        <w:tc>
          <w:tcPr>
            <w:tcW w:w="1470" w:type="dxa"/>
          </w:tcPr>
          <w:p>
            <w:pPr/>
            <w:r>
              <w:t xml:space="preserve">[Completar]</w:t>
            </w:r>
          </w:p>
        </w:tc>
        <w:tc>
          <w:tcPr>
            <w:tcW w:w="2278" w:type="dxa"/>
          </w:tcPr>
          <w:p>
            <w:pPr/>
            <w:r>
              <w:t xml:space="preserve">[Completar: puertos, VLAN]</w:t>
            </w:r>
          </w:p>
        </w:tc>
        <w:tc>
          <w:tcPr>
            <w:tcW w:w="1470" w:type="dxa"/>
          </w:tcPr>
          <w:p>
            <w:pPr/>
            <w:r>
              <w:t xml:space="preserve">[Completar]</w:t>
            </w:r>
          </w:p>
        </w:tc>
        <w:tc>
          <w:tcPr>
            <w:tcW w:w="1794" w:type="dxa"/>
          </w:tcPr>
          <w:p>
            <w:pPr/>
            <w:r>
              <w:t xml:space="preserve">[Completar]</w:t>
            </w:r>
          </w:p>
        </w:tc>
      </w:tr>
      <w:tr>
        <w:tc>
          <w:tcPr>
            <w:tcW w:w="2348" w:type="dxa"/>
          </w:tcPr>
          <w:p>
            <w:pPr/>
            <w:r>
              <w:t xml:space="preserve">UPS / respaldo de energía</w:t>
            </w:r>
          </w:p>
        </w:tc>
        <w:tc>
          <w:tcPr>
            <w:tcW w:w="1470" w:type="dxa"/>
          </w:tcPr>
          <w:p>
            <w:pPr/>
            <w:r>
              <w:t xml:space="preserve">[Completar]</w:t>
            </w:r>
          </w:p>
        </w:tc>
        <w:tc>
          <w:tcPr>
            <w:tcW w:w="2278" w:type="dxa"/>
          </w:tcPr>
          <w:p>
            <w:pPr/>
            <w:r>
              <w:t xml:space="preserve">[Completar: autonomía]</w:t>
            </w:r>
          </w:p>
        </w:tc>
        <w:tc>
          <w:tcPr>
            <w:tcW w:w="1470" w:type="dxa"/>
          </w:tcPr>
          <w:p>
            <w:pPr/>
            <w:r>
              <w:t xml:space="preserve">—</w:t>
            </w:r>
          </w:p>
        </w:tc>
        <w:tc>
          <w:tcPr>
            <w:tcW w:w="1794" w:type="dxa"/>
          </w:tcPr>
          <w:p>
            <w:pPr/>
            <w:r>
              <w:t xml:space="preserve">[Completar]</w:t>
            </w:r>
          </w:p>
        </w:tc>
      </w:tr>
      <w:tr>
        <w:tc>
          <w:tcPr>
            <w:tcW w:w="2348" w:type="dxa"/>
          </w:tcPr>
          <w:p>
            <w:pPr/>
            <w:r>
              <w:t xml:space="preserve">Antivirus / protección de servidores</w:t>
            </w:r>
          </w:p>
        </w:tc>
        <w:tc>
          <w:tcPr>
            <w:tcW w:w="1470" w:type="dxa"/>
          </w:tcPr>
          <w:p>
            <w:pPr/>
            <w:r>
              <w:t xml:space="preserve">[Completar]</w:t>
            </w:r>
          </w:p>
        </w:tc>
        <w:tc>
          <w:tcPr>
            <w:tcW w:w="2278" w:type="dxa"/>
          </w:tcPr>
          <w:p>
            <w:pPr/>
            <w:r>
              <w:t xml:space="preserve">[Completar]</w:t>
            </w:r>
          </w:p>
        </w:tc>
        <w:tc>
          <w:tcPr>
            <w:tcW w:w="1470" w:type="dxa"/>
          </w:tcPr>
          <w:p>
            <w:pPr/>
            <w:r>
              <w:t xml:space="preserve">[Completar]</w:t>
            </w:r>
          </w:p>
        </w:tc>
        <w:tc>
          <w:tcPr>
            <w:tcW w:w="1794" w:type="dxa"/>
          </w:tcPr>
          <w:p>
            <w:pPr/>
            <w:r>
              <w:t xml:space="preserve">[Completar: licencia, vigencia]</w:t>
            </w:r>
          </w:p>
        </w:tc>
      </w:tr>
      <w:tr>
        <w:tc>
          <w:tcPr>
            <w:tcW w:w="2348" w:type="dxa"/>
          </w:tcPr>
          <w:p>
            <w:pPr/>
            <w:r>
              <w:t xml:space="preserve">Acceso remoto a servidores</w:t>
            </w:r>
          </w:p>
        </w:tc>
        <w:tc>
          <w:tcPr>
            <w:tcW w:w="1470" w:type="dxa"/>
          </w:tcPr>
          <w:p>
            <w:pPr/>
            <w:r>
              <w:t xml:space="preserve">[Completar: escritorio remoto u otro]</w:t>
            </w:r>
          </w:p>
        </w:tc>
        <w:tc>
          <w:tcPr>
            <w:tcW w:w="2278" w:type="dxa"/>
          </w:tcPr>
          <w:p>
            <w:pPr/>
            <w:r>
              <w:t xml:space="preserve">[Completar: VPN, MFA]</w:t>
            </w:r>
          </w:p>
        </w:tc>
        <w:tc>
          <w:tcPr>
            <w:tcW w:w="1470" w:type="dxa"/>
          </w:tcPr>
          <w:p>
            <w:pPr/>
            <w:r>
              <w:t xml:space="preserve">[Completar]</w:t>
            </w:r>
          </w:p>
        </w:tc>
        <w:tc>
          <w:tcPr>
            <w:tcW w:w="1794" w:type="dxa"/>
          </w:tcPr>
          <w:p>
            <w:pPr/>
            <w:r>
              <w:t xml:space="preserve">—</w:t>
            </w:r>
          </w:p>
        </w:tc>
      </w:tr>
      <w:tr>
        <w:tc>
          <w:tcPr>
            <w:tcW w:w="2348" w:type="dxa"/>
          </w:tcPr>
          <w:p>
            <w:pPr/>
            <w:r>
              <w:t xml:space="preserve">Certificado TLS de la app móvil</w:t>
            </w:r>
          </w:p>
        </w:tc>
        <w:tc>
          <w:tcPr>
            <w:tcW w:w="1470" w:type="dxa"/>
          </w:tcPr>
          <w:p>
            <w:pPr/>
            <w:r>
              <w:t xml:space="preserve">[Completar]</w:t>
            </w:r>
          </w:p>
        </w:tc>
        <w:tc>
          <w:tcPr>
            <w:tcW w:w="2278" w:type="dxa"/>
          </w:tcPr>
          <w:p>
            <w:pPr/>
            <w:r>
              <w:rPr>
                <w:b/>
              </w:rPr>
              <w:t xml:space="preserve">Pendiente de instalar</w:t>
            </w:r>
            <w:r>
              <w:t xml:space="preserve"> junto con la IP pública</w:t>
            </w:r>
          </w:p>
        </w:tc>
        <w:tc>
          <w:tcPr>
            <w:tcW w:w="1470" w:type="dxa"/>
          </w:tcPr>
          <w:p>
            <w:pPr/>
            <w:r>
              <w:t xml:space="preserve">—</w:t>
            </w:r>
          </w:p>
        </w:tc>
        <w:tc>
          <w:tcPr>
            <w:tcW w:w="1794" w:type="dxa"/>
          </w:tcPr>
          <w:p>
            <w:pPr/>
            <w:r>
              <w:t xml:space="preserve">[Completar]</w:t>
            </w:r>
          </w:p>
        </w:tc>
      </w:tr>
      <w:tr>
        <w:tc>
          <w:tcPr>
            <w:tcW w:w="2348" w:type="dxa"/>
          </w:tcPr>
          <w:p>
            <w:pPr/>
            <w:r>
              <w:t xml:space="preserve">Correo electrónico (Microsoft 365, SMTP </w:t>
            </w:r>
            <w:r>
              <w:rPr>
                <w:rStyle w:val="CodeChar"/>
              </w:rPr>
              <w:t xml:space="preserve">smtp.office365.com:587</w:t>
            </w:r>
            <w:r>
              <w:t xml:space="preserve">)</w:t>
            </w:r>
          </w:p>
        </w:tc>
        <w:tc>
          <w:tcPr>
            <w:tcW w:w="1470" w:type="dxa"/>
          </w:tcPr>
          <w:p>
            <w:pPr/>
            <w:r>
              <w:t xml:space="preserve">Microsoft</w:t>
            </w:r>
          </w:p>
        </w:tc>
        <w:tc>
          <w:tcPr>
            <w:tcW w:w="2278" w:type="dxa"/>
          </w:tcPr>
          <w:p>
            <w:pPr/>
            <w:r>
              <w:t xml:space="preserve">Envío de comprobantes electrónicos desde </w:t>
            </w:r>
            <w:r>
              <w:rPr>
                <w:rStyle w:val="CodeChar"/>
              </w:rPr>
              <w:t xml:space="preserve">facturacion@asoprep.com.ec</w:t>
            </w:r>
          </w:p>
        </w:tc>
        <w:tc>
          <w:tcPr>
            <w:tcW w:w="1470" w:type="dxa"/>
          </w:tcPr>
          <w:p>
            <w:pPr/>
            <w:r>
              <w:t xml:space="preserve">—</w:t>
            </w:r>
          </w:p>
        </w:tc>
        <w:tc>
          <w:tcPr>
            <w:tcW w:w="1794" w:type="dxa"/>
          </w:tcPr>
          <w:p>
            <w:pPr/>
            <w:r>
              <w:t xml:space="preserve">[Completar: licencia]</w:t>
            </w:r>
          </w:p>
        </w:tc>
      </w:tr>
    </w:tbl>
    <w:p>
      <w:pPr>
        <w:pStyle w:val="Heading3"/>
      </w:pPr>
      <w:r>
        <w:t xml:space="preserve">1.4. Licencias y contratos relacionados</w:t>
      </w:r>
    </w:p>
    <w:tbl>
      <w:tblPr>
        <w:tblStyle w:val="TableGrid"/>
        <w:tblW w:w="0" w:type="auto"/>
        <w:tblLayout w:type="fixed"/>
        <w:tblLook w:val="04A0" w:firstRow="1" w:lastRow="0" w:firstColumn="0" w:lastColumn="0" w:noHBand="0" w:noVBand="1"/>
      </w:tblPr>
      <w:tblGrid>
        <w:gridCol w:w="2461"/>
        <w:gridCol w:w="2762"/>
        <w:gridCol w:w="4136"/>
      </w:tblGrid>
      <w:tr>
        <w:trPr>
          <w:tblHeader/>
        </w:trPr>
        <w:tc>
          <w:tcPr>
            <w:tcW w:w="2461" w:type="dxa"/>
            <w:shd w:val="clear" w:color="auto" w:fill="F2F2F2"/>
          </w:tcPr>
          <w:p>
            <w:pPr/>
            <w:r>
              <w:t xml:space="preserve">Elemento</w:t>
            </w:r>
          </w:p>
        </w:tc>
        <w:tc>
          <w:tcPr>
            <w:tcW w:w="2762" w:type="dxa"/>
            <w:shd w:val="clear" w:color="auto" w:fill="F2F2F2"/>
          </w:tcPr>
          <w:p>
            <w:pPr/>
            <w:r>
              <w:t xml:space="preserve">Situación</w:t>
            </w:r>
          </w:p>
        </w:tc>
        <w:tc>
          <w:tcPr>
            <w:tcW w:w="4136" w:type="dxa"/>
            <w:shd w:val="clear" w:color="auto" w:fill="F2F2F2"/>
          </w:tcPr>
          <w:p>
            <w:pPr/>
            <w:r>
              <w:t xml:space="preserve">Contrato / vigencia</w:t>
            </w:r>
          </w:p>
        </w:tc>
      </w:tr>
      <w:tr>
        <w:tc>
          <w:tcPr>
            <w:tcW w:w="2461" w:type="dxa"/>
          </w:tcPr>
          <w:p>
            <w:pPr/>
            <w:r>
              <w:t xml:space="preserve">Sistema SAA y app móvil</w:t>
            </w:r>
          </w:p>
        </w:tc>
        <w:tc>
          <w:tcPr>
            <w:tcW w:w="2762" w:type="dxa"/>
          </w:tcPr>
          <w:p>
            <w:pPr/>
            <w:r>
              <w:t xml:space="preserve">Desarrollo a la medida de GAEMII NEXUS S.A.S.</w:t>
            </w:r>
          </w:p>
        </w:tc>
        <w:tc>
          <w:tcPr>
            <w:tcW w:w="4136" w:type="dxa"/>
          </w:tcPr>
          <w:p>
            <w:pPr/>
            <w:r>
              <w:t xml:space="preserve">Contrato del 13-oct-2025, adendum del 3-jul-2026; garantía de 6 meses desde el acta definitiva [Completar fecha]; soporte posterior mínimo de 3 años, con costo aparte</w:t>
            </w:r>
          </w:p>
        </w:tc>
      </w:tr>
      <w:tr>
        <w:tc>
          <w:tcPr>
            <w:tcW w:w="2461" w:type="dxa"/>
          </w:tcPr>
          <w:p>
            <w:pPr/>
            <w:r>
              <w:t xml:space="preserve">Oracle Database 23ai </w:t>
            </w:r>
            <w:r>
              <w:rPr>
                <w:b/>
              </w:rPr>
              <w:t xml:space="preserve">Free</w:t>
            </w:r>
          </w:p>
        </w:tc>
        <w:tc>
          <w:tcPr>
            <w:tcW w:w="2762" w:type="dxa"/>
          </w:tcPr>
          <w:p>
            <w:pPr/>
            <w:r>
              <w:t xml:space="preserve">Edición gratuita, sin licencia ni soporte de Oracle</w:t>
            </w:r>
          </w:p>
        </w:tc>
        <w:tc>
          <w:tcPr>
            <w:tcW w:w="4136" w:type="dxa"/>
          </w:tcPr>
          <w:p>
            <w:pPr/>
            <w:r>
              <w:t xml:space="preserve">No aplica. </w:t>
            </w:r>
            <w:r>
              <w:rPr>
                <w:b/>
              </w:rPr>
              <w:t xml:space="preserve">Límite de la edición: 12 GB de datos de usuario</w:t>
            </w:r>
          </w:p>
        </w:tc>
      </w:tr>
      <w:tr>
        <w:tc>
          <w:tcPr>
            <w:tcW w:w="2461" w:type="dxa"/>
          </w:tcPr>
          <w:p>
            <w:pPr/>
            <w:r>
              <w:t xml:space="preserve">WildFly, Java (OpenJDK/Oracle JDK), Angular, JasperReports</w:t>
            </w:r>
          </w:p>
        </w:tc>
        <w:tc>
          <w:tcPr>
            <w:tcW w:w="2762" w:type="dxa"/>
          </w:tcPr>
          <w:p>
            <w:pPr/>
            <w:r>
              <w:t xml:space="preserve">Software libre</w:t>
            </w:r>
          </w:p>
        </w:tc>
        <w:tc>
          <w:tcPr>
            <w:tcW w:w="4136" w:type="dxa"/>
          </w:tcPr>
          <w:p>
            <w:pPr/>
            <w:r>
              <w:t xml:space="preserve">No aplica</w:t>
            </w:r>
          </w:p>
        </w:tc>
      </w:tr>
      <w:tr>
        <w:tc>
          <w:tcPr>
            <w:tcW w:w="2461" w:type="dxa"/>
          </w:tcPr>
          <w:p>
            <w:pPr/>
            <w:r>
              <w:t xml:space="preserve">Windows Server 2025</w:t>
            </w:r>
          </w:p>
        </w:tc>
        <w:tc>
          <w:tcPr>
            <w:tcW w:w="2762" w:type="dxa"/>
          </w:tcPr>
          <w:p>
            <w:pPr/>
            <w:r>
              <w:t xml:space="preserve">[Completar: tipo de licencia]</w:t>
            </w:r>
          </w:p>
        </w:tc>
        <w:tc>
          <w:tcPr>
            <w:tcW w:w="4136" w:type="dxa"/>
          </w:tcPr>
          <w:p>
            <w:pPr/>
            <w:r>
              <w:t xml:space="preserve">[Completar]</w:t>
            </w:r>
          </w:p>
        </w:tc>
      </w:tr>
      <w:tr>
        <w:tc>
          <w:tcPr>
            <w:tcW w:w="2461" w:type="dxa"/>
          </w:tcPr>
          <w:p>
            <w:pPr/>
            <w:r>
              <w:t xml:space="preserve">Docker Desktop</w:t>
            </w:r>
          </w:p>
        </w:tc>
        <w:tc>
          <w:tcPr>
            <w:tcW w:w="2762" w:type="dxa"/>
          </w:tcPr>
          <w:p>
            <w:pPr/>
            <w:r>
              <w:t xml:space="preserve">[Completar: tipo de licencia]</w:t>
            </w:r>
          </w:p>
        </w:tc>
        <w:tc>
          <w:tcPr>
            <w:tcW w:w="4136" w:type="dxa"/>
          </w:tcPr>
          <w:p>
            <w:pPr/>
            <w:r>
              <w:t xml:space="preserve">[Completar]</w:t>
            </w:r>
          </w:p>
        </w:tc>
      </w:tr>
    </w:tbl>
    <w:p>
      <w:pPr>
        <w:pStyle w:val="Heading2"/>
      </w:pPr>
      <w:r>
        <w:t xml:space="preserve">2. Arquitectura tecnológica por ambiente</w:t>
      </w:r>
    </w:p>
    <w:p>
      <w:pPr/>
      <w:r>
        <w:t xml:space="preserve">Los tres ambientes usan la misma pila: Oracle 23ai en Docker, WildFly 38 sobre Java 21 y el frontend Angular servido por el propio WildFly. Lo que cambia es dónde corren y qué datos tienen. </w:t>
      </w:r>
      <w:r>
        <w:rPr>
          <w:b/>
        </w:rPr>
        <w:t xml:space="preserve">El sistema de oficina no se expone a internet.</w:t>
      </w:r>
      <w:r>
        <w:t xml:space="preserve"> Lo único publicado hacia afuera es la capa de la aplicación móvil (</w:t>
      </w:r>
      <w:r>
        <w:rPr>
          <w:rStyle w:val="CodeChar"/>
        </w:rPr>
        <w:t xml:space="preserve">SaaMovilBE</w:t>
      </w:r>
      <w:r>
        <w:t xml:space="preserve">, en el 192.168.2.3), que reenvía cada consulta al backend de producción por la red interna, autenticada con un secreto compartido y sin acceso directo a la base de datos.</w:t>
      </w:r>
    </w:p>
    <w:p>
      <w:pPr/>
      <w:r>
        <w:drawing>
          <wp:inline distT="0" distB="0" distL="0" distR="0">
            <wp:extent cx="5486400" cy="4988378"/>
            <wp:docPr id="1" name="image1" descr="Arquitectura de red · producción, pruebas y desarrollo"/>
            <a:graphic xmlns:a="http://schemas.openxmlformats.org/drawingml/2006/main">
              <a:graphicData uri="http://schemas.openxmlformats.org/drawingml/2006/picture">
                <pic:pic xmlns:pic="http://schemas.openxmlformats.org/drawingml/2006/picture">
                  <pic:nvPicPr>
                    <pic:cNvPr id="1" name="image1" descr="Arquitectura de red · producción, pruebas y desarrollo"/>
                    <pic:cNvPicPr/>
                  </pic:nvPicPr>
                  <pic:blipFill>
                    <a:blip r:embed="rId3"/>
                    <a:stretch>
                      <a:fillRect/>
                    </a:stretch>
                  </pic:blipFill>
                  <pic:spPr>
                    <a:xfrm>
                      <a:off x="0" y="0"/>
                      <a:ext cx="5486400" cy="4988378"/>
                    </a:xfrm>
                    <a:prstGeom prst="rect">
                      <a:avLst/>
                    </a:prstGeom>
                  </pic:spPr>
                </pic:pic>
              </a:graphicData>
            </a:graphic>
          </wp:inline>
        </w:drawing>
      </w:r>
    </w:p>
    <w:p>
      <w:pPr/>
      <w:r>
        <w:t xml:space="preserve">Arquitectura de red · producción, pruebas y desarrollo</w:t>
      </w:r>
    </w:p>
    <w:p>
      <w:pPr/>
      <w:r>
        <w:t xml:space="preserve">En azul, producción. Las dos copias de pruebas tienen su propia base, sus puertos y su carpeta de archivos, y no comparten nada con producción salvo el servidor físico del 192.168.2.4.</w:t>
      </w:r>
    </w:p>
    <w:p>
      <w:pPr>
        <w:pStyle w:val="Heading3"/>
      </w:pPr>
      <w:r>
        <w:t xml:space="preserve">2.1. Ambientes</w:t>
      </w:r>
    </w:p>
    <w:tbl>
      <w:tblPr>
        <w:tblStyle w:val="TableGrid"/>
        <w:tblW w:w="0" w:type="auto"/>
        <w:tblLayout w:type="fixed"/>
        <w:tblLook w:val="04A0" w:firstRow="1" w:lastRow="0" w:firstColumn="0" w:lastColumn="0" w:noHBand="0" w:noVBand="1"/>
      </w:tblPr>
      <w:tblGrid>
        <w:gridCol w:w="1560"/>
        <w:gridCol w:w="1424"/>
        <w:gridCol w:w="1675"/>
        <w:gridCol w:w="1560"/>
        <w:gridCol w:w="1558"/>
        <w:gridCol w:w="1583"/>
      </w:tblGrid>
      <w:tr>
        <w:trPr>
          <w:tblHeader/>
        </w:trPr>
        <w:tc>
          <w:tcPr>
            <w:tcW w:w="1560" w:type="dxa"/>
            <w:shd w:val="clear" w:color="auto" w:fill="F2F2F2"/>
          </w:tcPr>
          <w:p>
            <w:pPr/>
            <w:r>
              <w:t xml:space="preserve">Ambiente</w:t>
            </w:r>
          </w:p>
        </w:tc>
        <w:tc>
          <w:tcPr>
            <w:tcW w:w="1424" w:type="dxa"/>
            <w:shd w:val="clear" w:color="auto" w:fill="F2F2F2"/>
          </w:tcPr>
          <w:p>
            <w:pPr/>
            <w:r>
              <w:t xml:space="preserve">Ubicación</w:t>
            </w:r>
          </w:p>
        </w:tc>
        <w:tc>
          <w:tcPr>
            <w:tcW w:w="1675" w:type="dxa"/>
            <w:shd w:val="clear" w:color="auto" w:fill="F2F2F2"/>
          </w:tcPr>
          <w:p>
            <w:pPr/>
            <w:r>
              <w:t xml:space="preserve">Base de datos</w:t>
            </w:r>
          </w:p>
        </w:tc>
        <w:tc>
          <w:tcPr>
            <w:tcW w:w="1560" w:type="dxa"/>
            <w:shd w:val="clear" w:color="auto" w:fill="F2F2F2"/>
          </w:tcPr>
          <w:p>
            <w:pPr/>
            <w:r>
              <w:t xml:space="preserve">Aplicación</w:t>
            </w:r>
          </w:p>
        </w:tc>
        <w:tc>
          <w:tcPr>
            <w:tcW w:w="1558" w:type="dxa"/>
            <w:shd w:val="clear" w:color="auto" w:fill="F2F2F2"/>
          </w:tcPr>
          <w:p>
            <w:pPr/>
            <w:r>
              <w:t xml:space="preserve">Datos</w:t>
            </w:r>
          </w:p>
        </w:tc>
        <w:tc>
          <w:tcPr>
            <w:tcW w:w="1583" w:type="dxa"/>
            <w:shd w:val="clear" w:color="auto" w:fill="F2F2F2"/>
          </w:tcPr>
          <w:p>
            <w:pPr/>
            <w:r>
              <w:t xml:space="preserve">Quién accede</w:t>
            </w:r>
          </w:p>
        </w:tc>
      </w:tr>
      <w:tr>
        <w:tc>
          <w:tcPr>
            <w:tcW w:w="1560" w:type="dxa"/>
          </w:tcPr>
          <w:p>
            <w:pPr/>
            <w:r>
              <w:rPr>
                <w:b/>
              </w:rPr>
              <w:t xml:space="preserve">Producción</w:t>
            </w:r>
          </w:p>
        </w:tc>
        <w:tc>
          <w:tcPr>
            <w:tcW w:w="1424" w:type="dxa"/>
          </w:tcPr>
          <w:p>
            <w:pPr/>
            <w:r>
              <w:t xml:space="preserve">192.168.2.4 (entidad)</w:t>
            </w:r>
          </w:p>
        </w:tc>
        <w:tc>
          <w:tcPr>
            <w:tcW w:w="1675" w:type="dxa"/>
          </w:tcPr>
          <w:p>
            <w:pPr/>
            <w:r>
              <w:t xml:space="preserve">Oracle 23ai Free, contenedor </w:t>
            </w:r>
            <w:r>
              <w:rPr>
                <w:rStyle w:val="CodeChar"/>
              </w:rPr>
              <w:t xml:space="preserve">saa-oracle-23ai</w:t>
            </w:r>
            <w:r>
              <w:t xml:space="preserve">, puerto 1521, PDB </w:t>
            </w:r>
            <w:r>
              <w:rPr>
                <w:rStyle w:val="CodeChar"/>
              </w:rPr>
              <w:t xml:space="preserve">FREEPDB1</w:t>
            </w:r>
          </w:p>
        </w:tc>
        <w:tc>
          <w:tcPr>
            <w:tcW w:w="1560" w:type="dxa"/>
          </w:tcPr>
          <w:p>
            <w:pPr/>
            <w:r>
              <w:t xml:space="preserve">WildFly 38 en </w:t>
            </w:r>
            <w:r>
              <w:rPr>
                <w:rStyle w:val="CodeChar"/>
              </w:rPr>
              <w:t xml:space="preserve">D:\wildfly38</w:t>
            </w:r>
            <w:r>
              <w:t xml:space="preserve">, puerto 8080, contexto </w:t>
            </w:r>
            <w:r>
              <w:rPr>
                <w:rStyle w:val="CodeChar"/>
              </w:rPr>
              <w:t xml:space="preserve">/SaaBE</w:t>
            </w:r>
          </w:p>
        </w:tc>
        <w:tc>
          <w:tcPr>
            <w:tcW w:w="1558" w:type="dxa"/>
          </w:tcPr>
          <w:p>
            <w:pPr/>
            <w:r>
              <w:t xml:space="preserve">Reales</w:t>
            </w:r>
          </w:p>
        </w:tc>
        <w:tc>
          <w:tcPr>
            <w:tcW w:w="1583" w:type="dxa"/>
          </w:tcPr>
          <w:p>
            <w:pPr/>
            <w:r>
              <w:t xml:space="preserve">Usuarios de la entidad desde la red interna; la app móvil a través de </w:t>
            </w:r>
            <w:r>
              <w:rPr>
                <w:rStyle w:val="CodeChar"/>
              </w:rPr>
              <w:t xml:space="preserve">SaaMovilBE</w:t>
            </w:r>
          </w:p>
        </w:tc>
      </w:tr>
      <w:tr>
        <w:tc>
          <w:tcPr>
            <w:tcW w:w="1560" w:type="dxa"/>
          </w:tcPr>
          <w:p>
            <w:pPr/>
            <w:r>
              <w:rPr>
                <w:b/>
              </w:rPr>
              <w:t xml:space="preserve">Pruebas «CUADRE»</w:t>
            </w:r>
          </w:p>
        </w:tc>
        <w:tc>
          <w:tcPr>
            <w:tcW w:w="1424" w:type="dxa"/>
          </w:tcPr>
          <w:p>
            <w:pPr/>
            <w:r>
              <w:t xml:space="preserve">192.168.2.4 (entidad), aislado de producción</w:t>
            </w:r>
          </w:p>
        </w:tc>
        <w:tc>
          <w:tcPr>
            <w:tcW w:w="1675" w:type="dxa"/>
          </w:tcPr>
          <w:p>
            <w:pPr/>
            <w:r>
              <w:t xml:space="preserve">Contenedor </w:t>
            </w:r>
            <w:r>
              <w:rPr>
                <w:rStyle w:val="CodeChar"/>
              </w:rPr>
              <w:t xml:space="preserve">saa-pruebas</w:t>
            </w:r>
            <w:r>
              <w:t xml:space="preserve">, puerto 1531, volumen propio</w:t>
            </w:r>
          </w:p>
        </w:tc>
        <w:tc>
          <w:tcPr>
            <w:tcW w:w="1560" w:type="dxa"/>
          </w:tcPr>
          <w:p>
            <w:pPr/>
            <w:r>
              <w:t xml:space="preserve">WildFly 38 en </w:t>
            </w:r>
            <w:r>
              <w:rPr>
                <w:rStyle w:val="CodeChar"/>
              </w:rPr>
              <w:t xml:space="preserve">D:\wildfly38-pruebas</w:t>
            </w:r>
            <w:r>
              <w:t xml:space="preserve">, puertos +100 (8180)</w:t>
            </w:r>
          </w:p>
        </w:tc>
        <w:tc>
          <w:tcPr>
            <w:tcW w:w="1558" w:type="dxa"/>
          </w:tcPr>
          <w:p>
            <w:pPr/>
            <w:r>
              <w:t xml:space="preserve">Copia de producción por Data Pump</w:t>
            </w:r>
          </w:p>
        </w:tc>
        <w:tc>
          <w:tcPr>
            <w:tcW w:w="1583" w:type="dxa"/>
          </w:tcPr>
          <w:p>
            <w:pPr/>
            <w:r>
              <w:t xml:space="preserve">Contabilidad, para el cuadre regulatorio</w:t>
            </w:r>
          </w:p>
        </w:tc>
      </w:tr>
      <w:tr>
        <w:tc>
          <w:tcPr>
            <w:tcW w:w="1560" w:type="dxa"/>
          </w:tcPr>
          <w:p>
            <w:pPr/>
            <w:r>
              <w:rPr>
                <w:b/>
              </w:rPr>
              <w:t xml:space="preserve">Pruebas</w:t>
            </w:r>
          </w:p>
        </w:tc>
        <w:tc>
          <w:tcPr>
            <w:tcW w:w="1424" w:type="dxa"/>
          </w:tcPr>
          <w:p>
            <w:pPr/>
            <w:r>
              <w:t xml:space="preserve">192.168.2.3 </w:t>
            </w:r>
            <w:r>
              <w:rPr>
                <w:rStyle w:val="CodeChar"/>
              </w:rPr>
              <w:t xml:space="preserve">SRVDEV1</w:t>
            </w:r>
            <w:r>
              <w:t xml:space="preserve"> (entidad)</w:t>
            </w:r>
          </w:p>
        </w:tc>
        <w:tc>
          <w:tcPr>
            <w:tcW w:w="1675" w:type="dxa"/>
          </w:tcPr>
          <w:p>
            <w:pPr/>
            <w:r>
              <w:t xml:space="preserve">Contenedor </w:t>
            </w:r>
            <w:r>
              <w:rPr>
                <w:rStyle w:val="CodeChar"/>
              </w:rPr>
              <w:t xml:space="preserve">saa-pruebas</w:t>
            </w:r>
            <w:r>
              <w:t xml:space="preserve">, puerto 1531, clonado desde el .4</w:t>
            </w:r>
          </w:p>
        </w:tc>
        <w:tc>
          <w:tcPr>
            <w:tcW w:w="1560" w:type="dxa"/>
          </w:tcPr>
          <w:p>
            <w:pPr/>
            <w:r>
              <w:t xml:space="preserve">WildFly 38, puerto 8180</w:t>
            </w:r>
          </w:p>
        </w:tc>
        <w:tc>
          <w:tcPr>
            <w:tcW w:w="1558" w:type="dxa"/>
          </w:tcPr>
          <w:p>
            <w:pPr/>
            <w:r>
              <w:t xml:space="preserve">Copia de producción, con la empresa renombrada «ASOPREP PRUEBAS»</w:t>
            </w:r>
          </w:p>
        </w:tc>
        <w:tc>
          <w:tcPr>
            <w:tcW w:w="1583" w:type="dxa"/>
          </w:tcPr>
          <w:p>
            <w:pPr/>
            <w:r>
              <w:t xml:space="preserve">Usuarios clave, para validar versiones antes de producción</w:t>
            </w:r>
          </w:p>
        </w:tc>
      </w:tr>
      <w:tr>
        <w:tc>
          <w:tcPr>
            <w:tcW w:w="1560" w:type="dxa"/>
          </w:tcPr>
          <w:p>
            <w:pPr/>
            <w:r>
              <w:rPr>
                <w:b/>
              </w:rPr>
              <w:t xml:space="preserve">Desarrollo</w:t>
            </w:r>
          </w:p>
        </w:tc>
        <w:tc>
          <w:tcPr>
            <w:tcW w:w="1424" w:type="dxa"/>
          </w:tcPr>
          <w:p>
            <w:pPr/>
            <w:r>
              <w:t xml:space="preserve">Equipos del proveedor</w:t>
            </w:r>
          </w:p>
        </w:tc>
        <w:tc>
          <w:tcPr>
            <w:tcW w:w="1675" w:type="dxa"/>
          </w:tcPr>
          <w:p>
            <w:pPr/>
            <w:r>
              <w:t xml:space="preserve">Oracle 23ai Free en Docker local</w:t>
            </w:r>
          </w:p>
        </w:tc>
        <w:tc>
          <w:tcPr>
            <w:tcW w:w="1560" w:type="dxa"/>
          </w:tcPr>
          <w:p>
            <w:pPr/>
            <w:r>
              <w:t xml:space="preserve">WildFly 38 local (Eclipse)</w:t>
            </w:r>
          </w:p>
        </w:tc>
        <w:tc>
          <w:tcPr>
            <w:tcW w:w="1558" w:type="dxa"/>
          </w:tcPr>
          <w:p>
            <w:pPr/>
            <w:r>
              <w:t xml:space="preserve">De prueba</w:t>
            </w:r>
          </w:p>
        </w:tc>
        <w:tc>
          <w:tcPr>
            <w:tcW w:w="1583" w:type="dxa"/>
          </w:tcPr>
          <w:p>
            <w:pPr/>
            <w:r>
              <w:t xml:space="preserve">Equipo de GAEMII NEXUS</w:t>
            </w:r>
          </w:p>
        </w:tc>
      </w:tr>
    </w:tbl>
    <w:p>
      <w:pPr>
        <w:pStyle w:val="Heading3"/>
      </w:pPr>
      <w:r>
        <w:t xml:space="preserve">2.2. Puertos y flujos de red</w:t>
      </w:r>
    </w:p>
    <w:tbl>
      <w:tblPr>
        <w:tblStyle w:val="TableGrid"/>
        <w:tblW w:w="0" w:type="auto"/>
        <w:tblLayout w:type="fixed"/>
        <w:tblLook w:val="04A0" w:firstRow="1" w:lastRow="0" w:firstColumn="0" w:lastColumn="0" w:noHBand="0" w:noVBand="1"/>
      </w:tblPr>
      <w:tblGrid>
        <w:gridCol w:w="1872"/>
        <w:gridCol w:w="1872"/>
        <w:gridCol w:w="1470"/>
        <w:gridCol w:w="1495"/>
        <w:gridCol w:w="2651"/>
      </w:tblGrid>
      <w:tr>
        <w:trPr>
          <w:tblHeader/>
        </w:trPr>
        <w:tc>
          <w:tcPr>
            <w:tcW w:w="1872" w:type="dxa"/>
            <w:shd w:val="clear" w:color="auto" w:fill="F2F2F2"/>
          </w:tcPr>
          <w:p>
            <w:pPr/>
            <w:r>
              <w:t xml:space="preserve">Origen</w:t>
            </w:r>
          </w:p>
        </w:tc>
        <w:tc>
          <w:tcPr>
            <w:tcW w:w="1872" w:type="dxa"/>
            <w:shd w:val="clear" w:color="auto" w:fill="F2F2F2"/>
          </w:tcPr>
          <w:p>
            <w:pPr/>
            <w:r>
              <w:t xml:space="preserve">Destino</w:t>
            </w:r>
          </w:p>
        </w:tc>
        <w:tc>
          <w:tcPr>
            <w:tcW w:w="1470" w:type="dxa"/>
            <w:shd w:val="clear" w:color="auto" w:fill="F2F2F2"/>
          </w:tcPr>
          <w:p>
            <w:pPr/>
            <w:r>
              <w:t xml:space="preserve">Puerto</w:t>
            </w:r>
          </w:p>
        </w:tc>
        <w:tc>
          <w:tcPr>
            <w:tcW w:w="1495" w:type="dxa"/>
            <w:shd w:val="clear" w:color="auto" w:fill="F2F2F2"/>
          </w:tcPr>
          <w:p>
            <w:pPr/>
            <w:r>
              <w:t xml:space="preserve">Protocolo</w:t>
            </w:r>
          </w:p>
        </w:tc>
        <w:tc>
          <w:tcPr>
            <w:tcW w:w="2651" w:type="dxa"/>
            <w:shd w:val="clear" w:color="auto" w:fill="F2F2F2"/>
          </w:tcPr>
          <w:p>
            <w:pPr/>
            <w:r>
              <w:t xml:space="preserve">Para qué</w:t>
            </w:r>
          </w:p>
        </w:tc>
      </w:tr>
      <w:tr>
        <w:tc>
          <w:tcPr>
            <w:tcW w:w="1872" w:type="dxa"/>
          </w:tcPr>
          <w:p>
            <w:pPr/>
            <w:r>
              <w:t xml:space="preserve">Estaciones de la red interna</w:t>
            </w:r>
          </w:p>
        </w:tc>
        <w:tc>
          <w:tcPr>
            <w:tcW w:w="1872" w:type="dxa"/>
          </w:tcPr>
          <w:p>
            <w:pPr/>
            <w:r>
              <w:t xml:space="preserve">192.168.2.4</w:t>
            </w:r>
          </w:p>
        </w:tc>
        <w:tc>
          <w:tcPr>
            <w:tcW w:w="1470" w:type="dxa"/>
          </w:tcPr>
          <w:p>
            <w:pPr/>
            <w:r>
              <w:t xml:space="preserve">8080</w:t>
            </w:r>
          </w:p>
        </w:tc>
        <w:tc>
          <w:tcPr>
            <w:tcW w:w="1495" w:type="dxa"/>
          </w:tcPr>
          <w:p>
            <w:pPr/>
            <w:r>
              <w:t xml:space="preserve">HTTP</w:t>
            </w:r>
          </w:p>
        </w:tc>
        <w:tc>
          <w:tcPr>
            <w:tcW w:w="2651" w:type="dxa"/>
          </w:tcPr>
          <w:p>
            <w:pPr/>
            <w:r>
              <w:t xml:space="preserve">Uso del SAA (frontend y API REST </w:t>
            </w:r>
            <w:r>
              <w:rPr>
                <w:rStyle w:val="CodeChar"/>
              </w:rPr>
              <w:t xml:space="preserve">/SaaBE/rest</w:t>
            </w:r>
            <w:r>
              <w:t xml:space="preserve">)</w:t>
            </w:r>
          </w:p>
        </w:tc>
      </w:tr>
      <w:tr>
        <w:tc>
          <w:tcPr>
            <w:tcW w:w="1872" w:type="dxa"/>
          </w:tcPr>
          <w:p>
            <w:pPr/>
            <w:r>
              <w:t xml:space="preserve">Estaciones de la red interna</w:t>
            </w:r>
          </w:p>
        </w:tc>
        <w:tc>
          <w:tcPr>
            <w:tcW w:w="1872" w:type="dxa"/>
          </w:tcPr>
          <w:p>
            <w:pPr/>
            <w:r>
              <w:t xml:space="preserve">192.168.2.4 / .3</w:t>
            </w:r>
          </w:p>
        </w:tc>
        <w:tc>
          <w:tcPr>
            <w:tcW w:w="1470" w:type="dxa"/>
          </w:tcPr>
          <w:p>
            <w:pPr/>
            <w:r>
              <w:t xml:space="preserve">8180</w:t>
            </w:r>
          </w:p>
        </w:tc>
        <w:tc>
          <w:tcPr>
            <w:tcW w:w="1495" w:type="dxa"/>
          </w:tcPr>
          <w:p>
            <w:pPr/>
            <w:r>
              <w:t xml:space="preserve">HTTP</w:t>
            </w:r>
          </w:p>
        </w:tc>
        <w:tc>
          <w:tcPr>
            <w:tcW w:w="2651" w:type="dxa"/>
          </w:tcPr>
          <w:p>
            <w:pPr/>
            <w:r>
              <w:t xml:space="preserve">Ambientes de pruebas</w:t>
            </w:r>
          </w:p>
        </w:tc>
      </w:tr>
      <w:tr>
        <w:tc>
          <w:tcPr>
            <w:tcW w:w="1872" w:type="dxa"/>
          </w:tcPr>
          <w:p>
            <w:pPr/>
            <w:r>
              <w:t xml:space="preserve">Internet (app móvil)</w:t>
            </w:r>
          </w:p>
        </w:tc>
        <w:tc>
          <w:tcPr>
            <w:tcW w:w="1872" w:type="dxa"/>
          </w:tcPr>
          <w:p>
            <w:pPr/>
            <w:r>
              <w:t xml:space="preserve">192.168.2.3 </w:t>
            </w:r>
            <w:r>
              <w:rPr>
                <w:rStyle w:val="CodeChar"/>
              </w:rPr>
              <w:t xml:space="preserve">SaaMovilBE</w:t>
            </w:r>
          </w:p>
        </w:tc>
        <w:tc>
          <w:tcPr>
            <w:tcW w:w="1470" w:type="dxa"/>
          </w:tcPr>
          <w:p>
            <w:pPr/>
            <w:r>
              <w:t xml:space="preserve">443</w:t>
            </w:r>
          </w:p>
        </w:tc>
        <w:tc>
          <w:tcPr>
            <w:tcW w:w="1495" w:type="dxa"/>
          </w:tcPr>
          <w:p>
            <w:pPr/>
            <w:r>
              <w:t xml:space="preserve">HTTPS</w:t>
            </w:r>
          </w:p>
        </w:tc>
        <w:tc>
          <w:tcPr>
            <w:tcW w:w="2651" w:type="dxa"/>
          </w:tcPr>
          <w:p>
            <w:pPr/>
            <w:r>
              <w:t xml:space="preserve">Consultas de los partícipes. </w:t>
            </w:r>
            <w:r>
              <w:rPr>
                <w:b/>
              </w:rPr>
              <w:t xml:space="preserve">Pendiente</w:t>
            </w:r>
            <w:r>
              <w:t xml:space="preserve">: IP pública enrutada y certificado TLS</w:t>
            </w:r>
          </w:p>
        </w:tc>
      </w:tr>
      <w:tr>
        <w:tc>
          <w:tcPr>
            <w:tcW w:w="1872" w:type="dxa"/>
          </w:tcPr>
          <w:p>
            <w:pPr/>
            <w:r>
              <w:t xml:space="preserve">192.168.2.3 </w:t>
            </w:r>
            <w:r>
              <w:rPr>
                <w:rStyle w:val="CodeChar"/>
              </w:rPr>
              <w:t xml:space="preserve">SaaMovilBE</w:t>
            </w:r>
          </w:p>
        </w:tc>
        <w:tc>
          <w:tcPr>
            <w:tcW w:w="1872" w:type="dxa"/>
          </w:tcPr>
          <w:p>
            <w:pPr/>
            <w:r>
              <w:t xml:space="preserve">192.168.2.4</w:t>
            </w:r>
          </w:p>
        </w:tc>
        <w:tc>
          <w:tcPr>
            <w:tcW w:w="1470" w:type="dxa"/>
          </w:tcPr>
          <w:p>
            <w:pPr/>
            <w:r>
              <w:t xml:space="preserve">8080</w:t>
            </w:r>
          </w:p>
        </w:tc>
        <w:tc>
          <w:tcPr>
            <w:tcW w:w="1495" w:type="dxa"/>
          </w:tcPr>
          <w:p>
            <w:pPr/>
            <w:r>
              <w:t xml:space="preserve">HTTP interno + secreto compartido</w:t>
            </w:r>
          </w:p>
        </w:tc>
        <w:tc>
          <w:tcPr>
            <w:tcW w:w="2651" w:type="dxa"/>
          </w:tcPr>
          <w:p>
            <w:pPr/>
            <w:r>
              <w:t xml:space="preserve">Reenvío a </w:t>
            </w:r>
            <w:r>
              <w:rPr>
                <w:rStyle w:val="CodeChar"/>
              </w:rPr>
              <w:t xml:space="preserve">/SaaBE/movil</w:t>
            </w:r>
          </w:p>
        </w:tc>
      </w:tr>
      <w:tr>
        <w:tc>
          <w:tcPr>
            <w:tcW w:w="1872" w:type="dxa"/>
          </w:tcPr>
          <w:p>
            <w:pPr/>
            <w:r>
              <w:t xml:space="preserve">WildFly</w:t>
            </w:r>
          </w:p>
        </w:tc>
        <w:tc>
          <w:tcPr>
            <w:tcW w:w="1872" w:type="dxa"/>
          </w:tcPr>
          <w:p>
            <w:pPr/>
            <w:r>
              <w:t xml:space="preserve">Oracle (mismo servidor)</w:t>
            </w:r>
          </w:p>
        </w:tc>
        <w:tc>
          <w:tcPr>
            <w:tcW w:w="1470" w:type="dxa"/>
          </w:tcPr>
          <w:p>
            <w:pPr/>
            <w:r>
              <w:t xml:space="preserve">1521 / 1531</w:t>
            </w:r>
          </w:p>
        </w:tc>
        <w:tc>
          <w:tcPr>
            <w:tcW w:w="1495" w:type="dxa"/>
          </w:tcPr>
          <w:p>
            <w:pPr/>
            <w:r>
              <w:t xml:space="preserve">JDBC (Oracle Thin)</w:t>
            </w:r>
          </w:p>
        </w:tc>
        <w:tc>
          <w:tcPr>
            <w:tcW w:w="2651" w:type="dxa"/>
          </w:tcPr>
          <w:p>
            <w:pPr/>
            <w:r>
              <w:t xml:space="preserve">Datasource </w:t>
            </w:r>
            <w:r>
              <w:rPr>
                <w:rStyle w:val="CodeChar"/>
              </w:rPr>
              <w:t xml:space="preserve">java:/jdbc/SaaDS</w:t>
            </w:r>
          </w:p>
        </w:tc>
      </w:tr>
      <w:tr>
        <w:tc>
          <w:tcPr>
            <w:tcW w:w="1872" w:type="dxa"/>
          </w:tcPr>
          <w:p>
            <w:pPr/>
            <w:r>
              <w:t xml:space="preserve">192.168.2.3</w:t>
            </w:r>
          </w:p>
        </w:tc>
        <w:tc>
          <w:tcPr>
            <w:tcW w:w="1872" w:type="dxa"/>
          </w:tcPr>
          <w:p>
            <w:pPr/>
            <w:r>
              <w:t xml:space="preserve">192.168.2.4</w:t>
            </w:r>
          </w:p>
        </w:tc>
        <w:tc>
          <w:tcPr>
            <w:tcW w:w="1470" w:type="dxa"/>
          </w:tcPr>
          <w:p>
            <w:pPr/>
            <w:r>
              <w:t xml:space="preserve">1521</w:t>
            </w:r>
          </w:p>
        </w:tc>
        <w:tc>
          <w:tcPr>
            <w:tcW w:w="1495" w:type="dxa"/>
          </w:tcPr>
          <w:p>
            <w:pPr/>
            <w:r>
              <w:t xml:space="preserve">Oracle Net (Data Pump)</w:t>
            </w:r>
          </w:p>
        </w:tc>
        <w:tc>
          <w:tcPr>
            <w:tcW w:w="2651" w:type="dxa"/>
          </w:tcPr>
          <w:p>
            <w:pPr/>
            <w:r>
              <w:t xml:space="preserve">Clonado de producción a pruebas, a demanda</w:t>
            </w:r>
          </w:p>
        </w:tc>
      </w:tr>
      <w:tr>
        <w:tc>
          <w:tcPr>
            <w:tcW w:w="1872" w:type="dxa"/>
          </w:tcPr>
          <w:p>
            <w:pPr/>
            <w:r>
              <w:t xml:space="preserve">192.168.2.4</w:t>
            </w:r>
          </w:p>
        </w:tc>
        <w:tc>
          <w:tcPr>
            <w:tcW w:w="1872" w:type="dxa"/>
          </w:tcPr>
          <w:p>
            <w:pPr/>
            <w:r>
              <w:t xml:space="preserve">SRI (</w:t>
            </w:r>
            <w:r>
              <w:rPr>
                <w:rStyle w:val="CodeChar"/>
              </w:rPr>
              <w:t xml:space="preserve">cel.sri.gob.ec</w:t>
            </w:r>
            <w:r>
              <w:t xml:space="preserve">)</w:t>
            </w:r>
          </w:p>
        </w:tc>
        <w:tc>
          <w:tcPr>
            <w:tcW w:w="1470" w:type="dxa"/>
          </w:tcPr>
          <w:p>
            <w:pPr/>
            <w:r>
              <w:t xml:space="preserve">443</w:t>
            </w:r>
          </w:p>
        </w:tc>
        <w:tc>
          <w:tcPr>
            <w:tcW w:w="1495" w:type="dxa"/>
          </w:tcPr>
          <w:p>
            <w:pPr/>
            <w:r>
              <w:t xml:space="preserve">HTTPS (SOAP)</w:t>
            </w:r>
          </w:p>
        </w:tc>
        <w:tc>
          <w:tcPr>
            <w:tcW w:w="2651" w:type="dxa"/>
          </w:tcPr>
          <w:p>
            <w:pPr/>
            <w:r>
              <w:t xml:space="preserve">Recepción y autorización de comprobantes electrónicos</w:t>
            </w:r>
          </w:p>
        </w:tc>
      </w:tr>
      <w:tr>
        <w:tc>
          <w:tcPr>
            <w:tcW w:w="1872" w:type="dxa"/>
          </w:tcPr>
          <w:p>
            <w:pPr/>
            <w:r>
              <w:t xml:space="preserve">192.168.2.4</w:t>
            </w:r>
          </w:p>
        </w:tc>
        <w:tc>
          <w:tcPr>
            <w:tcW w:w="1872" w:type="dxa"/>
          </w:tcPr>
          <w:p>
            <w:pPr/>
            <w:r>
              <w:rPr>
                <w:rStyle w:val="CodeChar"/>
              </w:rPr>
              <w:t xml:space="preserve">smtp.office365.com</w:t>
            </w:r>
          </w:p>
        </w:tc>
        <w:tc>
          <w:tcPr>
            <w:tcW w:w="1470" w:type="dxa"/>
          </w:tcPr>
          <w:p>
            <w:pPr/>
            <w:r>
              <w:t xml:space="preserve">587</w:t>
            </w:r>
          </w:p>
        </w:tc>
        <w:tc>
          <w:tcPr>
            <w:tcW w:w="1495" w:type="dxa"/>
          </w:tcPr>
          <w:p>
            <w:pPr/>
            <w:r>
              <w:t xml:space="preserve">SMTP + STARTTLS</w:t>
            </w:r>
          </w:p>
        </w:tc>
        <w:tc>
          <w:tcPr>
            <w:tcW w:w="2651" w:type="dxa"/>
          </w:tcPr>
          <w:p>
            <w:pPr/>
            <w:r>
              <w:t xml:space="preserve">Envío de comprobantes a clientes</w:t>
            </w:r>
          </w:p>
        </w:tc>
      </w:tr>
      <w:tr>
        <w:tc>
          <w:tcPr>
            <w:tcW w:w="1872" w:type="dxa"/>
          </w:tcPr>
          <w:p>
            <w:pPr/>
            <w:r>
              <w:t xml:space="preserve">Administradores</w:t>
            </w:r>
          </w:p>
        </w:tc>
        <w:tc>
          <w:tcPr>
            <w:tcW w:w="1872" w:type="dxa"/>
          </w:tcPr>
          <w:p>
            <w:pPr/>
            <w:r>
              <w:t xml:space="preserve">Servidores</w:t>
            </w:r>
          </w:p>
        </w:tc>
        <w:tc>
          <w:tcPr>
            <w:tcW w:w="1470" w:type="dxa"/>
          </w:tcPr>
          <w:p>
            <w:pPr/>
            <w:r>
              <w:t xml:space="preserve">[Completar]</w:t>
            </w:r>
          </w:p>
        </w:tc>
        <w:tc>
          <w:tcPr>
            <w:tcW w:w="1495" w:type="dxa"/>
          </w:tcPr>
          <w:p>
            <w:pPr/>
            <w:r>
              <w:t xml:space="preserve">Escritorio remoto</w:t>
            </w:r>
          </w:p>
        </w:tc>
        <w:tc>
          <w:tcPr>
            <w:tcW w:w="2651" w:type="dxa"/>
          </w:tcPr>
          <w:p>
            <w:pPr/>
            <w:r>
              <w:t xml:space="preserve">Administración y despliegue</w:t>
            </w:r>
          </w:p>
        </w:tc>
      </w:tr>
    </w:tbl>
    <w:p>
      <w:pPr/>
      <w:r>
        <w:t xml:space="preserve">Los pagos a bancos (Banco Internacional, Banco del Pacífico) y la carga de descuentos de Petrocomercial </w:t>
      </w:r>
      <w:r>
        <w:rPr>
          <w:b/>
        </w:rPr>
        <w:t xml:space="preserve">no usan conexión en línea</w:t>
      </w:r>
      <w:r>
        <w:t xml:space="preserve">. El SAA genera o recibe archivos y el usuario autorizado los carga o descarga en la banca web o los entrega por el canal acordado.</w:t>
      </w:r>
    </w:p>
    <w:p>
      <w:pPr>
        <w:pStyle w:val="Heading3"/>
      </w:pPr>
      <w:r>
        <w:t xml:space="preserve">2.3. Promoción de cambios</w:t>
      </w:r>
    </w:p>
    <w:p>
      <w:pPr>
        <w:pStyle w:val="ListParagraph"/>
        <w:numPr>
          <w:ilvl w:val="0"/>
          <w:numId w:val="2"/>
        </w:numPr>
      </w:pPr>
      <w:r>
        <w:t xml:space="preserve">El proveedor desarrolla y compila en su ambiente; el código queda en GitHub (</w:t>
      </w:r>
      <w:r>
        <w:rPr>
          <w:rStyle w:val="CodeChar"/>
        </w:rPr>
        <w:t xml:space="preserve">gaeminexus/saaBE</w:t>
      </w:r>
      <w:r>
        <w:t xml:space="preserve">, </w:t>
      </w:r>
      <w:r>
        <w:rPr>
          <w:rStyle w:val="CodeChar"/>
        </w:rPr>
        <w:t xml:space="preserve">gaeminexus/saaFE</w:t>
      </w:r>
      <w:r>
        <w:t xml:space="preserve">).</w:t>
      </w:r>
    </w:p>
    <w:p>
      <w:pPr>
        <w:pStyle w:val="ListParagraph"/>
        <w:numPr>
          <w:ilvl w:val="0"/>
          <w:numId w:val="2"/>
        </w:numPr>
      </w:pPr>
      <w:r>
        <w:t xml:space="preserve">Los cambios de base de datos se entregan como scripts </w:t>
      </w:r>
      <w:r>
        <w:rPr>
          <w:rStyle w:val="CodeChar"/>
        </w:rPr>
        <w:t xml:space="preserve">.sql</w:t>
      </w:r>
      <w:r>
        <w:t xml:space="preserve"> con controles antes y después, y bloque de reverso.</w:t>
      </w:r>
    </w:p>
    <w:p>
      <w:pPr>
        <w:pStyle w:val="ListParagraph"/>
        <w:numPr>
          <w:ilvl w:val="0"/>
          <w:numId w:val="2"/>
        </w:numPr>
      </w:pPr>
      <w:r>
        <w:t xml:space="preserve">El script se corre primero en pruebas y luego en producción, </w:t>
      </w:r>
      <w:r>
        <w:rPr>
          <w:b/>
        </w:rPr>
        <w:t xml:space="preserve">antes</w:t>
      </w:r>
      <w:r>
        <w:t xml:space="preserve"> del despliegue de la aplicación cuando la versión lo requiere.</w:t>
      </w:r>
    </w:p>
    <w:p>
      <w:pPr>
        <w:pStyle w:val="ListParagraph"/>
        <w:numPr>
          <w:ilvl w:val="0"/>
          <w:numId w:val="2"/>
        </w:numPr>
      </w:pPr>
      <w:r>
        <w:t xml:space="preserve">El archivo </w:t>
      </w:r>
      <w:r>
        <w:rPr>
          <w:rStyle w:val="CodeChar"/>
        </w:rPr>
        <w:t xml:space="preserve">SaaBE.war</w:t>
      </w:r>
      <w:r>
        <w:t xml:space="preserve"> y el frontend compilado se despliegan en WildFly por escritorio remoto: primero en pruebas y, validado, en producción.</w:t>
      </w:r>
    </w:p>
    <w:p>
      <w:pPr/>
      <w:r>
        <w:t xml:space="preserve">[Completar: quién de la entidad autoriza cada paso a producción y dónde queda registrado.]</w:t>
      </w:r>
    </w:p>
    <w:p>
      <w:pPr>
        <w:pStyle w:val="Heading2"/>
      </w:pPr>
      <w:r>
        <w:t xml:space="preserve">3. Arquitectura del sistema SAA</w:t>
      </w:r>
    </w:p>
    <w:p>
      <w:pPr/>
      <w:r>
        <w:t xml:space="preserve">El SAA es una aplicación web de tres capas: un frontend Angular de una sola página, un backend Jakarta EE desplegado como un solo archivo </w:t>
      </w:r>
      <w:r>
        <w:rPr>
          <w:rStyle w:val="CodeChar"/>
        </w:rPr>
        <w:t xml:space="preserve">SaaBE.war</w:t>
      </w:r>
      <w:r>
        <w:t xml:space="preserve"> en WildFly, y una base Oracle organizada en esquemas por área. Todos los módulos comparten la base y el motor de transacciones, así que la contabilidad de cada operación se genera dentro de la misma transacción que la operación, sin interfaces ni cargas intermedias.</w:t>
      </w:r>
    </w:p>
    <w:p>
      <w:pPr/>
      <w:r>
        <w:drawing>
          <wp:inline distT="0" distB="0" distL="0" distR="0">
            <wp:extent cx="5486400" cy="4474028"/>
            <wp:docPr id="2" name="image2" descr="Arquitectura de componentes del SAA · capas e integraciones"/>
            <a:graphic xmlns:a="http://schemas.openxmlformats.org/drawingml/2006/main">
              <a:graphicData uri="http://schemas.openxmlformats.org/drawingml/2006/picture">
                <pic:pic xmlns:pic="http://schemas.openxmlformats.org/drawingml/2006/picture">
                  <pic:nvPicPr>
                    <pic:cNvPr id="2" name="image2" descr="Arquitectura de componentes del SAA · capas e integraciones"/>
                    <pic:cNvPicPr/>
                  </pic:nvPicPr>
                  <pic:blipFill>
                    <a:blip r:embed="rId4"/>
                    <a:stretch>
                      <a:fillRect/>
                    </a:stretch>
                  </pic:blipFill>
                  <pic:spPr>
                    <a:xfrm>
                      <a:off x="0" y="0"/>
                      <a:ext cx="5486400" cy="4474028"/>
                    </a:xfrm>
                    <a:prstGeom prst="rect">
                      <a:avLst/>
                    </a:prstGeom>
                  </pic:spPr>
                </pic:pic>
              </a:graphicData>
            </a:graphic>
          </wp:inline>
        </w:drawing>
      </w:r>
    </w:p>
    <w:p>
      <w:pPr/>
      <w:r>
        <w:t xml:space="preserve">Arquitectura de componentes del SAA · capas e integraciones</w:t>
      </w:r>
    </w:p>
    <w:p>
      <w:pPr/>
      <w:r>
        <w:t xml:space="preserve">El navegador y la app entran por dos puertas distintas. </w:t>
      </w:r>
      <w:r>
        <w:rPr>
          <w:rStyle w:val="CodeChar"/>
        </w:rPr>
        <w:t xml:space="preserve">/rest</w:t>
      </w:r>
      <w:r>
        <w:t xml:space="preserve"> sirve a las pantallas de oficina. </w:t>
      </w:r>
      <w:r>
        <w:rPr>
          <w:rStyle w:val="CodeChar"/>
        </w:rPr>
        <w:t xml:space="preserve">/movil</w:t>
      </w:r>
      <w:r>
        <w:t xml:space="preserve"> es una lista cerrada de consultas de solo lectura para la app. Las dos llegan a la misma capa de servicios, donde están las reglas y la transacción.</w:t>
      </w:r>
    </w:p>
    <w:p>
      <w:pPr>
        <w:pStyle w:val="Heading3"/>
      </w:pPr>
      <w:r>
        <w:t xml:space="preserve">3.1. Plataforma y versiones</w:t>
      </w:r>
    </w:p>
    <w:tbl>
      <w:tblPr>
        <w:tblStyle w:val="TableGrid"/>
        <w:tblW w:w="0" w:type="auto"/>
        <w:tblLayout w:type="fixed"/>
        <w:tblLook w:val="04A0" w:firstRow="1" w:lastRow="0" w:firstColumn="0" w:lastColumn="0" w:noHBand="0" w:noVBand="1"/>
      </w:tblPr>
      <w:tblGrid>
        <w:gridCol w:w="2809"/>
        <w:gridCol w:w="4734"/>
        <w:gridCol w:w="1817"/>
      </w:tblGrid>
      <w:tr>
        <w:trPr>
          <w:tblHeader/>
        </w:trPr>
        <w:tc>
          <w:tcPr>
            <w:tcW w:w="2809" w:type="dxa"/>
            <w:shd w:val="clear" w:color="auto" w:fill="F2F2F2"/>
          </w:tcPr>
          <w:p>
            <w:pPr/>
            <w:r>
              <w:t xml:space="preserve">Capa</w:t>
            </w:r>
          </w:p>
        </w:tc>
        <w:tc>
          <w:tcPr>
            <w:tcW w:w="4734" w:type="dxa"/>
            <w:shd w:val="clear" w:color="auto" w:fill="F2F2F2"/>
          </w:tcPr>
          <w:p>
            <w:pPr/>
            <w:r>
              <w:t xml:space="preserve">Tecnología</w:t>
            </w:r>
          </w:p>
        </w:tc>
        <w:tc>
          <w:tcPr>
            <w:tcW w:w="1817" w:type="dxa"/>
            <w:shd w:val="clear" w:color="auto" w:fill="F2F2F2"/>
          </w:tcPr>
          <w:p>
            <w:pPr/>
            <w:r>
              <w:t xml:space="preserve">Versión</w:t>
            </w:r>
          </w:p>
        </w:tc>
      </w:tr>
      <w:tr>
        <w:tc>
          <w:tcPr>
            <w:tcW w:w="2809" w:type="dxa"/>
          </w:tcPr>
          <w:p>
            <w:pPr/>
            <w:r>
              <w:t xml:space="preserve">Frontend</w:t>
            </w:r>
          </w:p>
        </w:tc>
        <w:tc>
          <w:tcPr>
            <w:tcW w:w="4734" w:type="dxa"/>
          </w:tcPr>
          <w:p>
            <w:pPr/>
            <w:r>
              <w:t xml:space="preserve">Angular + Angular Material, TypeScript, RxJS</w:t>
            </w:r>
          </w:p>
        </w:tc>
        <w:tc>
          <w:tcPr>
            <w:tcW w:w="1817" w:type="dxa"/>
          </w:tcPr>
          <w:p>
            <w:pPr/>
            <w:r>
              <w:t xml:space="preserve">20.3 / 20.2, 5.9, 7.8</w:t>
            </w:r>
          </w:p>
        </w:tc>
      </w:tr>
      <w:tr>
        <w:tc>
          <w:tcPr>
            <w:tcW w:w="2809" w:type="dxa"/>
          </w:tcPr>
          <w:p>
            <w:pPr/>
            <w:r>
              <w:t xml:space="preserve">API</w:t>
            </w:r>
          </w:p>
        </w:tc>
        <w:tc>
          <w:tcPr>
            <w:tcW w:w="4734" w:type="dxa"/>
          </w:tcPr>
          <w:p>
            <w:pPr/>
            <w:r>
              <w:t xml:space="preserve">Jakarta RESTful Web Services (RESTEasy), JSON con Jackson</w:t>
            </w:r>
          </w:p>
        </w:tc>
        <w:tc>
          <w:tcPr>
            <w:tcW w:w="1817" w:type="dxa"/>
          </w:tcPr>
          <w:p>
            <w:pPr/>
            <w:r>
              <w:t xml:space="preserve">Jakarta EE 10 · Jackson 2.18</w:t>
            </w:r>
          </w:p>
        </w:tc>
      </w:tr>
      <w:tr>
        <w:tc>
          <w:tcPr>
            <w:tcW w:w="2809" w:type="dxa"/>
          </w:tcPr>
          <w:p>
            <w:pPr/>
            <w:r>
              <w:t xml:space="preserve">Lógica de negocio</w:t>
            </w:r>
          </w:p>
        </w:tc>
        <w:tc>
          <w:tcPr>
            <w:tcW w:w="4734" w:type="dxa"/>
          </w:tcPr>
          <w:p>
            <w:pPr/>
            <w:r>
              <w:t xml:space="preserve">Enterprise Java Beans (sin estado y con estado), transacciones JTA</w:t>
            </w:r>
          </w:p>
        </w:tc>
        <w:tc>
          <w:tcPr>
            <w:tcW w:w="1817" w:type="dxa"/>
          </w:tcPr>
          <w:p>
            <w:pPr/>
            <w:r>
              <w:t xml:space="preserve">Jakarta EE 10 · Java 21</w:t>
            </w:r>
          </w:p>
        </w:tc>
      </w:tr>
      <w:tr>
        <w:tc>
          <w:tcPr>
            <w:tcW w:w="2809" w:type="dxa"/>
          </w:tcPr>
          <w:p>
            <w:pPr/>
            <w:r>
              <w:t xml:space="preserve">Persistencia</w:t>
            </w:r>
          </w:p>
        </w:tc>
        <w:tc>
          <w:tcPr>
            <w:tcW w:w="4734" w:type="dxa"/>
          </w:tcPr>
          <w:p>
            <w:pPr/>
            <w:r>
              <w:t xml:space="preserve">JPA con Hibernate ORM, datasource JTA </w:t>
            </w:r>
            <w:r>
              <w:rPr>
                <w:rStyle w:val="CodeChar"/>
              </w:rPr>
              <w:t xml:space="preserve">java:/jdbc/SaaDS</w:t>
            </w:r>
          </w:p>
        </w:tc>
        <w:tc>
          <w:tcPr>
            <w:tcW w:w="1817" w:type="dxa"/>
          </w:tcPr>
          <w:p>
            <w:pPr/>
            <w:r>
              <w:t xml:space="preserve">Hibernate 6.6 (provisto por WildFly)</w:t>
            </w:r>
          </w:p>
        </w:tc>
      </w:tr>
      <w:tr>
        <w:tc>
          <w:tcPr>
            <w:tcW w:w="2809" w:type="dxa"/>
          </w:tcPr>
          <w:p>
            <w:pPr/>
            <w:r>
              <w:t xml:space="preserve">Servidor de aplicaciones</w:t>
            </w:r>
          </w:p>
        </w:tc>
        <w:tc>
          <w:tcPr>
            <w:tcW w:w="4734" w:type="dxa"/>
          </w:tcPr>
          <w:p>
            <w:pPr/>
            <w:r>
              <w:t xml:space="preserve">WildFly</w:t>
            </w:r>
          </w:p>
        </w:tc>
        <w:tc>
          <w:tcPr>
            <w:tcW w:w="1817" w:type="dxa"/>
          </w:tcPr>
          <w:p>
            <w:pPr/>
            <w:r>
              <w:t xml:space="preserve">38</w:t>
            </w:r>
          </w:p>
        </w:tc>
      </w:tr>
      <w:tr>
        <w:tc>
          <w:tcPr>
            <w:tcW w:w="2809" w:type="dxa"/>
          </w:tcPr>
          <w:p>
            <w:pPr/>
            <w:r>
              <w:t xml:space="preserve">Base de datos</w:t>
            </w:r>
          </w:p>
        </w:tc>
        <w:tc>
          <w:tcPr>
            <w:tcW w:w="4734" w:type="dxa"/>
          </w:tcPr>
          <w:p>
            <w:pPr/>
            <w:r>
              <w:t xml:space="preserve">Oracle Database Free, juego de caracteres AL32UTF8</w:t>
            </w:r>
          </w:p>
        </w:tc>
        <w:tc>
          <w:tcPr>
            <w:tcW w:w="1817" w:type="dxa"/>
          </w:tcPr>
          <w:p>
            <w:pPr/>
            <w:r>
              <w:t xml:space="preserve">23ai</w:t>
            </w:r>
          </w:p>
        </w:tc>
      </w:tr>
      <w:tr>
        <w:tc>
          <w:tcPr>
            <w:tcW w:w="2809" w:type="dxa"/>
          </w:tcPr>
          <w:p>
            <w:pPr/>
            <w:r>
              <w:t xml:space="preserve">Reportes</w:t>
            </w:r>
          </w:p>
        </w:tc>
        <w:tc>
          <w:tcPr>
            <w:tcW w:w="4734" w:type="dxa"/>
          </w:tcPr>
          <w:p>
            <w:pPr/>
            <w:r>
              <w:t xml:space="preserve">JasperReports (plantillas precompiladas </w:t>
            </w:r>
            <w:r>
              <w:rPr>
                <w:rStyle w:val="CodeChar"/>
              </w:rPr>
              <w:t xml:space="preserve">.jasper</w:t>
            </w:r>
            <w:r>
              <w:t xml:space="preserve">), OpenPDF, Apache POI para Excel</w:t>
            </w:r>
          </w:p>
        </w:tc>
        <w:tc>
          <w:tcPr>
            <w:tcW w:w="1817" w:type="dxa"/>
          </w:tcPr>
          <w:p>
            <w:pPr/>
            <w:r>
              <w:t xml:space="preserve">7.0.3 · POI 5.2.3</w:t>
            </w:r>
          </w:p>
        </w:tc>
      </w:tr>
      <w:tr>
        <w:tc>
          <w:tcPr>
            <w:tcW w:w="2809" w:type="dxa"/>
          </w:tcPr>
          <w:p>
            <w:pPr/>
            <w:r>
              <w:t xml:space="preserve">Firma electrónica</w:t>
            </w:r>
          </w:p>
        </w:tc>
        <w:tc>
          <w:tcPr>
            <w:tcW w:w="4734" w:type="dxa"/>
          </w:tcPr>
          <w:p>
            <w:pPr/>
            <w:r>
              <w:t xml:space="preserve">XAdES-BES con BouncyCastle y Apache Santuario</w:t>
            </w:r>
          </w:p>
        </w:tc>
        <w:tc>
          <w:tcPr>
            <w:tcW w:w="1817" w:type="dxa"/>
          </w:tcPr>
          <w:p>
            <w:pPr/>
            <w:r>
              <w:t xml:space="preserve">bcprov 1.78.1 · xmlsec 3.0.4</w:t>
            </w:r>
          </w:p>
        </w:tc>
      </w:tr>
      <w:tr>
        <w:tc>
          <w:tcPr>
            <w:tcW w:w="2809" w:type="dxa"/>
          </w:tcPr>
          <w:p>
            <w:pPr/>
            <w:r>
              <w:t xml:space="preserve">App móvil</w:t>
            </w:r>
          </w:p>
        </w:tc>
        <w:tc>
          <w:tcPr>
            <w:tcW w:w="4734" w:type="dxa"/>
          </w:tcPr>
          <w:p>
            <w:pPr/>
            <w:r>
              <w:t xml:space="preserve">Flutter (Android e iOS) + capa de borde </w:t>
            </w:r>
            <w:r>
              <w:rPr>
                <w:rStyle w:val="CodeChar"/>
              </w:rPr>
              <w:t xml:space="preserve">SaaMovilBE</w:t>
            </w:r>
            <w:r>
              <w:t xml:space="preserve"> (WAR Jakarta EE)</w:t>
            </w:r>
          </w:p>
        </w:tc>
        <w:tc>
          <w:tcPr>
            <w:tcW w:w="1817" w:type="dxa"/>
          </w:tcPr>
          <w:p>
            <w:pPr/>
            <w:r>
              <w:t xml:space="preserve">app 1.4.0</w:t>
            </w:r>
          </w:p>
        </w:tc>
      </w:tr>
    </w:tbl>
    <w:p>
      <w:pPr>
        <w:pStyle w:val="Heading3"/>
      </w:pPr>
      <w:r>
        <w:t xml:space="preserve">3.2. Capas del backend</w:t>
      </w:r>
    </w:p>
    <w:p>
      <w:pPr/>
      <w:r>
        <w:t xml:space="preserve">Cada tabla se implementa con el mismo patrón de cinco piezas. Eso hace que las 427 tablas del sistema se lean, prueben y mantengan igual.</w:t>
      </w:r>
    </w:p>
    <w:tbl>
      <w:tblPr>
        <w:tblStyle w:val="TableGrid"/>
        <w:tblW w:w="0" w:type="auto"/>
        <w:tblLayout w:type="fixed"/>
        <w:tblLook w:val="04A0" w:firstRow="1" w:lastRow="0" w:firstColumn="0" w:lastColumn="0" w:noHBand="0" w:noVBand="1"/>
      </w:tblPr>
      <w:tblGrid>
        <w:gridCol w:w="3035"/>
        <w:gridCol w:w="4736"/>
        <w:gridCol w:w="1589"/>
      </w:tblGrid>
      <w:tr>
        <w:trPr>
          <w:tblHeader/>
        </w:trPr>
        <w:tc>
          <w:tcPr>
            <w:tcW w:w="3035" w:type="dxa"/>
            <w:shd w:val="clear" w:color="auto" w:fill="F2F2F2"/>
          </w:tcPr>
          <w:p>
            <w:pPr/>
            <w:r>
              <w:t xml:space="preserve">Capa</w:t>
            </w:r>
          </w:p>
        </w:tc>
        <w:tc>
          <w:tcPr>
            <w:tcW w:w="4736" w:type="dxa"/>
            <w:shd w:val="clear" w:color="auto" w:fill="F2F2F2"/>
          </w:tcPr>
          <w:p>
            <w:pPr/>
            <w:r>
              <w:t xml:space="preserve">Qué hace</w:t>
            </w:r>
          </w:p>
        </w:tc>
        <w:tc>
          <w:tcPr>
            <w:tcW w:w="1589" w:type="dxa"/>
            <w:shd w:val="clear" w:color="auto" w:fill="F2F2F2"/>
          </w:tcPr>
          <w:p>
            <w:pPr/>
            <w:r>
              <w:t xml:space="preserve">Cantidad</w:t>
            </w:r>
          </w:p>
        </w:tc>
      </w:tr>
      <w:tr>
        <w:tc>
          <w:tcPr>
            <w:tcW w:w="3035" w:type="dxa"/>
          </w:tcPr>
          <w:p>
            <w:pPr/>
            <w:r>
              <w:t xml:space="preserve">Entidad JPA (</w:t>
            </w:r>
            <w:r>
              <w:rPr>
                <w:rStyle w:val="CodeChar"/>
              </w:rPr>
              <w:t xml:space="preserve">com.saa.model.{módulo}</w:t>
            </w:r>
            <w:r>
              <w:t xml:space="preserve">)</w:t>
            </w:r>
          </w:p>
        </w:tc>
        <w:tc>
          <w:tcPr>
            <w:tcW w:w="4736" w:type="dxa"/>
          </w:tcPr>
          <w:p>
            <w:pPr/>
            <w:r>
              <w:t xml:space="preserve">Mapea la tabla y sus relaciones</w:t>
            </w:r>
          </w:p>
        </w:tc>
        <w:tc>
          <w:tcPr>
            <w:tcW w:w="1589" w:type="dxa"/>
          </w:tcPr>
          <w:p>
            <w:pPr/>
            <w:r>
              <w:t xml:space="preserve">427</w:t>
            </w:r>
          </w:p>
        </w:tc>
      </w:tr>
      <w:tr>
        <w:tc>
          <w:tcPr>
            <w:tcW w:w="3035" w:type="dxa"/>
          </w:tcPr>
          <w:p>
            <w:pPr/>
            <w:r>
              <w:t xml:space="preserve">DAO (</w:t>
            </w:r>
            <w:r>
              <w:rPr>
                <w:rStyle w:val="CodeChar"/>
              </w:rPr>
              <w:t xml:space="preserve">ejb.{módulo}.dao</w:t>
            </w:r>
            <w:r>
              <w:t xml:space="preserve"> / </w:t>
            </w:r>
            <w:r>
              <w:rPr>
                <w:rStyle w:val="CodeChar"/>
              </w:rPr>
              <w:t xml:space="preserve">daoImpl</w:t>
            </w:r>
            <w:r>
              <w:t xml:space="preserve">)</w:t>
            </w:r>
          </w:p>
        </w:tc>
        <w:tc>
          <w:tcPr>
            <w:tcW w:w="4736" w:type="dxa"/>
          </w:tcPr>
          <w:p>
            <w:pPr/>
            <w:r>
              <w:t xml:space="preserve">Consultas, sobre un DAO genérico común</w:t>
            </w:r>
          </w:p>
        </w:tc>
        <w:tc>
          <w:tcPr>
            <w:tcW w:w="1589" w:type="dxa"/>
          </w:tcPr>
          <w:p>
            <w:pPr/>
            <w:r>
              <w:t xml:space="preserve">427</w:t>
            </w:r>
          </w:p>
        </w:tc>
      </w:tr>
      <w:tr>
        <w:tc>
          <w:tcPr>
            <w:tcW w:w="3035" w:type="dxa"/>
          </w:tcPr>
          <w:p>
            <w:pPr/>
            <w:r>
              <w:t xml:space="preserve">Servicio (</w:t>
            </w:r>
            <w:r>
              <w:rPr>
                <w:rStyle w:val="CodeChar"/>
              </w:rPr>
              <w:t xml:space="preserve">ejb.{módulo}.service</w:t>
            </w:r>
            <w:r>
              <w:t xml:space="preserve"> / </w:t>
            </w:r>
            <w:r>
              <w:rPr>
                <w:rStyle w:val="CodeChar"/>
              </w:rPr>
              <w:t xml:space="preserve">serviceImpl</w:t>
            </w:r>
            <w:r>
              <w:t xml:space="preserve">)</w:t>
            </w:r>
          </w:p>
        </w:tc>
        <w:tc>
          <w:tcPr>
            <w:tcW w:w="4736" w:type="dxa"/>
          </w:tcPr>
          <w:p>
            <w:pPr/>
            <w:r>
              <w:t xml:space="preserve">Reglas de negocio, validaciones y transacción; incluye los procesos (cargas, cierres, conciliaciones, corridas de pago)</w:t>
            </w:r>
          </w:p>
        </w:tc>
        <w:tc>
          <w:tcPr>
            <w:tcW w:w="1589" w:type="dxa"/>
          </w:tcPr>
          <w:p>
            <w:pPr/>
            <w:r>
              <w:t xml:space="preserve">472</w:t>
            </w:r>
          </w:p>
        </w:tc>
      </w:tr>
      <w:tr>
        <w:tc>
          <w:tcPr>
            <w:tcW w:w="3035" w:type="dxa"/>
          </w:tcPr>
          <w:p>
            <w:pPr/>
            <w:r>
              <w:t xml:space="preserve">Recurso REST (</w:t>
            </w:r>
            <w:r>
              <w:rPr>
                <w:rStyle w:val="CodeChar"/>
              </w:rPr>
              <w:t xml:space="preserve">ws.rest.{módulo}</w:t>
            </w:r>
            <w:r>
              <w:t xml:space="preserve">)</w:t>
            </w:r>
          </w:p>
        </w:tc>
        <w:tc>
          <w:tcPr>
            <w:tcW w:w="4736" w:type="dxa"/>
          </w:tcPr>
          <w:p>
            <w:pPr/>
            <w:r>
              <w:t xml:space="preserve">Expone cada entidad y proceso por HTTP en </w:t>
            </w:r>
            <w:r>
              <w:rPr>
                <w:rStyle w:val="CodeChar"/>
              </w:rPr>
              <w:t xml:space="preserve">/SaaBE/rest</w:t>
            </w:r>
          </w:p>
        </w:tc>
        <w:tc>
          <w:tcPr>
            <w:tcW w:w="1589" w:type="dxa"/>
          </w:tcPr>
          <w:p>
            <w:pPr/>
            <w:r>
              <w:t xml:space="preserve">401 recursos · 2.756 operaciones</w:t>
            </w:r>
          </w:p>
        </w:tc>
      </w:tr>
      <w:tr>
        <w:tc>
          <w:tcPr>
            <w:tcW w:w="3035" w:type="dxa"/>
          </w:tcPr>
          <w:p>
            <w:pPr/>
            <w:r>
              <w:t xml:space="preserve">Recurso móvil (</w:t>
            </w:r>
            <w:r>
              <w:rPr>
                <w:rStyle w:val="CodeChar"/>
              </w:rPr>
              <w:t xml:space="preserve">ws.movil</w:t>
            </w:r>
            <w:r>
              <w:t xml:space="preserve">)</w:t>
            </w:r>
          </w:p>
        </w:tc>
        <w:tc>
          <w:tcPr>
            <w:tcW w:w="4736" w:type="dxa"/>
          </w:tcPr>
          <w:p>
            <w:pPr/>
            <w:r>
              <w:t xml:space="preserve">Lista cerrada de 7 recursos de solo consulta para la app, en </w:t>
            </w:r>
            <w:r>
              <w:rPr>
                <w:rStyle w:val="CodeChar"/>
              </w:rPr>
              <w:t xml:space="preserve">/SaaBE/movil</w:t>
            </w:r>
          </w:p>
        </w:tc>
        <w:tc>
          <w:tcPr>
            <w:tcW w:w="1589" w:type="dxa"/>
          </w:tcPr>
          <w:p>
            <w:pPr/>
            <w:r>
              <w:t xml:space="preserve">7 recursos · 15 operaciones</w:t>
            </w:r>
          </w:p>
        </w:tc>
      </w:tr>
      <w:tr>
        <w:tc>
          <w:tcPr>
            <w:tcW w:w="3035" w:type="dxa"/>
          </w:tcPr>
          <w:p>
            <w:pPr/>
            <w:r>
              <w:t xml:space="preserve">Proceso automático</w:t>
            </w:r>
          </w:p>
        </w:tc>
        <w:tc>
          <w:tcPr>
            <w:tcW w:w="4736" w:type="dxa"/>
          </w:tcPr>
          <w:p>
            <w:pPr/>
            <w:r>
              <w:t xml:space="preserve">Cálculo diario de interés de mora, todos los días a las 02:00</w:t>
            </w:r>
          </w:p>
        </w:tc>
        <w:tc>
          <w:tcPr>
            <w:tcW w:w="1589" w:type="dxa"/>
          </w:tcPr>
          <w:p>
            <w:pPr/>
            <w:r>
              <w:t xml:space="preserve">1 temporizador</w:t>
            </w:r>
          </w:p>
        </w:tc>
      </w:tr>
      <w:tr>
        <w:tc>
          <w:tcPr>
            <w:tcW w:w="3035" w:type="dxa"/>
          </w:tcPr>
          <w:p>
            <w:pPr/>
            <w:r>
              <w:t xml:space="preserve">Reportes</w:t>
            </w:r>
          </w:p>
        </w:tc>
        <w:tc>
          <w:tcPr>
            <w:tcW w:w="4736" w:type="dxa"/>
          </w:tcPr>
          <w:p>
            <w:pPr/>
            <w:r>
              <w:t xml:space="preserve">Servicio único que resuelve la plantilla por módulo y la llena por JDBC</w:t>
            </w:r>
          </w:p>
        </w:tc>
        <w:tc>
          <w:tcPr>
            <w:tcW w:w="1589" w:type="dxa"/>
          </w:tcPr>
          <w:p>
            <w:pPr/>
            <w:r>
              <w:t xml:space="preserve">61 reportes en producción</w:t>
            </w:r>
          </w:p>
        </w:tc>
      </w:tr>
    </w:tbl>
    <w:p>
      <w:pPr>
        <w:pStyle w:val="Heading3"/>
      </w:pPr>
      <w:r>
        <w:t xml:space="preserve">3.3. Integraciones externas</w:t>
      </w:r>
    </w:p>
    <w:tbl>
      <w:tblPr>
        <w:tblStyle w:val="TableGrid"/>
        <w:tblW w:w="0" w:type="auto"/>
        <w:tblLayout w:type="fixed"/>
        <w:tblLook w:val="04A0" w:firstRow="1" w:lastRow="0" w:firstColumn="0" w:lastColumn="0" w:noHBand="0" w:noVBand="1"/>
      </w:tblPr>
      <w:tblGrid>
        <w:gridCol w:w="2017"/>
        <w:gridCol w:w="4653"/>
        <w:gridCol w:w="1226"/>
        <w:gridCol w:w="1464"/>
      </w:tblGrid>
      <w:tr>
        <w:trPr>
          <w:tblHeader/>
        </w:trPr>
        <w:tc>
          <w:tcPr>
            <w:tcW w:w="2017" w:type="dxa"/>
            <w:shd w:val="clear" w:color="auto" w:fill="F2F2F2"/>
          </w:tcPr>
          <w:p>
            <w:pPr/>
            <w:r>
              <w:t xml:space="preserve">Con quién</w:t>
            </w:r>
          </w:p>
        </w:tc>
        <w:tc>
          <w:tcPr>
            <w:tcW w:w="4653" w:type="dxa"/>
            <w:shd w:val="clear" w:color="auto" w:fill="F2F2F2"/>
          </w:tcPr>
          <w:p>
            <w:pPr/>
            <w:r>
              <w:t xml:space="preserve">Cómo</w:t>
            </w:r>
          </w:p>
        </w:tc>
        <w:tc>
          <w:tcPr>
            <w:tcW w:w="1226" w:type="dxa"/>
            <w:shd w:val="clear" w:color="auto" w:fill="F2F2F2"/>
          </w:tcPr>
          <w:p>
            <w:pPr/>
            <w:r>
              <w:t xml:space="preserve">Sentido</w:t>
            </w:r>
          </w:p>
        </w:tc>
        <w:tc>
          <w:tcPr>
            <w:tcW w:w="1464" w:type="dxa"/>
            <w:shd w:val="clear" w:color="auto" w:fill="F2F2F2"/>
          </w:tcPr>
          <w:p>
            <w:pPr/>
            <w:r>
              <w:t xml:space="preserve">Módulo</w:t>
            </w:r>
          </w:p>
        </w:tc>
      </w:tr>
      <w:tr>
        <w:tc>
          <w:tcPr>
            <w:tcW w:w="2017" w:type="dxa"/>
          </w:tcPr>
          <w:p>
            <w:pPr/>
            <w:r>
              <w:t xml:space="preserve">SRI — comprobantes electrónicos</w:t>
            </w:r>
          </w:p>
        </w:tc>
        <w:tc>
          <w:tcPr>
            <w:tcW w:w="4653" w:type="dxa"/>
          </w:tcPr>
          <w:p>
            <w:pPr/>
            <w:r>
              <w:t xml:space="preserve">Servicios web de recepción y autorización (</w:t>
            </w:r>
            <w:r>
              <w:rPr>
                <w:rStyle w:val="CodeChar"/>
              </w:rPr>
              <w:t xml:space="preserve">cel.sri.gob.ec</w:t>
            </w:r>
            <w:r>
              <w:t xml:space="preserve">; </w:t>
            </w:r>
            <w:r>
              <w:rPr>
                <w:rStyle w:val="CodeChar"/>
              </w:rPr>
              <w:t xml:space="preserve">celcer</w:t>
            </w:r>
            <w:r>
              <w:t xml:space="preserve"> en pruebas), XML firmado XAdES</w:t>
            </w:r>
          </w:p>
        </w:tc>
        <w:tc>
          <w:tcPr>
            <w:tcW w:w="1226" w:type="dxa"/>
          </w:tcPr>
          <w:p>
            <w:pPr/>
            <w:r>
              <w:t xml:space="preserve">Salida y respuesta</w:t>
            </w:r>
          </w:p>
        </w:tc>
        <w:tc>
          <w:tcPr>
            <w:tcW w:w="1464" w:type="dxa"/>
          </w:tcPr>
          <w:p>
            <w:pPr/>
            <w:r>
              <w:t xml:space="preserve">Cuentas por Cobrar</w:t>
            </w:r>
          </w:p>
        </w:tc>
      </w:tr>
      <w:tr>
        <w:tc>
          <w:tcPr>
            <w:tcW w:w="2017" w:type="dxa"/>
          </w:tcPr>
          <w:p>
            <w:pPr/>
            <w:r>
              <w:t xml:space="preserve">SRI — comprobantes recibidos</w:t>
            </w:r>
          </w:p>
        </w:tc>
        <w:tc>
          <w:tcPr>
            <w:tcW w:w="4653" w:type="dxa"/>
          </w:tcPr>
          <w:p>
            <w:pPr/>
            <w:r>
              <w:t xml:space="preserve">Consulta de autorización y carga de TXT/XML descargados del portal</w:t>
            </w:r>
          </w:p>
        </w:tc>
        <w:tc>
          <w:tcPr>
            <w:tcW w:w="1226" w:type="dxa"/>
          </w:tcPr>
          <w:p>
            <w:pPr/>
            <w:r>
              <w:t xml:space="preserve">Entrada</w:t>
            </w:r>
          </w:p>
        </w:tc>
        <w:tc>
          <w:tcPr>
            <w:tcW w:w="1464" w:type="dxa"/>
          </w:tcPr>
          <w:p>
            <w:pPr/>
            <w:r>
              <w:t xml:space="preserve">Cuentas por Pagar</w:t>
            </w:r>
          </w:p>
        </w:tc>
      </w:tr>
      <w:tr>
        <w:tc>
          <w:tcPr>
            <w:tcW w:w="2017" w:type="dxa"/>
          </w:tcPr>
          <w:p>
            <w:pPr/>
            <w:r>
              <w:t xml:space="preserve">SRI — Anexo Transaccional Simplificado</w:t>
            </w:r>
          </w:p>
        </w:tc>
        <w:tc>
          <w:tcPr>
            <w:tcW w:w="4653" w:type="dxa"/>
          </w:tcPr>
          <w:p>
            <w:pPr/>
            <w:r>
              <w:t xml:space="preserve">Archivo XML generado por el sistema</w:t>
            </w:r>
          </w:p>
        </w:tc>
        <w:tc>
          <w:tcPr>
            <w:tcW w:w="1226" w:type="dxa"/>
          </w:tcPr>
          <w:p>
            <w:pPr/>
            <w:r>
              <w:t xml:space="preserve">Salida (archivo)</w:t>
            </w:r>
          </w:p>
        </w:tc>
        <w:tc>
          <w:tcPr>
            <w:tcW w:w="1464" w:type="dxa"/>
          </w:tcPr>
          <w:p>
            <w:pPr/>
            <w:r>
              <w:t xml:space="preserve">CxC / CxP</w:t>
            </w:r>
          </w:p>
        </w:tc>
      </w:tr>
      <w:tr>
        <w:tc>
          <w:tcPr>
            <w:tcW w:w="2017" w:type="dxa"/>
          </w:tcPr>
          <w:p>
            <w:pPr/>
            <w:r>
              <w:t xml:space="preserve">Clientes</w:t>
            </w:r>
          </w:p>
        </w:tc>
        <w:tc>
          <w:tcPr>
            <w:tcW w:w="4653" w:type="dxa"/>
          </w:tcPr>
          <w:p>
            <w:pPr/>
            <w:r>
              <w:t xml:space="preserve">Correo con el comprobante (Microsoft 365)</w:t>
            </w:r>
          </w:p>
        </w:tc>
        <w:tc>
          <w:tcPr>
            <w:tcW w:w="1226" w:type="dxa"/>
          </w:tcPr>
          <w:p>
            <w:pPr/>
            <w:r>
              <w:t xml:space="preserve">Salida</w:t>
            </w:r>
          </w:p>
        </w:tc>
        <w:tc>
          <w:tcPr>
            <w:tcW w:w="1464" w:type="dxa"/>
          </w:tcPr>
          <w:p>
            <w:pPr/>
            <w:r>
              <w:t xml:space="preserve">Cuentas por Cobrar</w:t>
            </w:r>
          </w:p>
        </w:tc>
      </w:tr>
      <w:tr>
        <w:tc>
          <w:tcPr>
            <w:tcW w:w="2017" w:type="dxa"/>
          </w:tcPr>
          <w:p>
            <w:pPr/>
            <w:r>
              <w:t xml:space="preserve">Petrocomercial</w:t>
            </w:r>
          </w:p>
        </w:tc>
        <w:tc>
          <w:tcPr>
            <w:tcW w:w="4653" w:type="dxa"/>
          </w:tcPr>
          <w:p>
            <w:pPr/>
            <w:r>
              <w:t xml:space="preserve">Archivo de descuentos por filial (</w:t>
            </w:r>
            <w:r>
              <w:rPr>
                <w:rStyle w:val="CodeChar"/>
              </w:rPr>
              <w:t xml:space="preserve">.txt</w:t>
            </w:r>
            <w:r>
              <w:t xml:space="preserve">) y archivo de respuesta</w:t>
            </w:r>
          </w:p>
        </w:tc>
        <w:tc>
          <w:tcPr>
            <w:tcW w:w="1226" w:type="dxa"/>
          </w:tcPr>
          <w:p>
            <w:pPr/>
            <w:r>
              <w:t xml:space="preserve">Salida y entrada (archivo)</w:t>
            </w:r>
          </w:p>
        </w:tc>
        <w:tc>
          <w:tcPr>
            <w:tcW w:w="1464" w:type="dxa"/>
          </w:tcPr>
          <w:p>
            <w:pPr/>
            <w:r>
              <w:t xml:space="preserve">Créditos</w:t>
            </w:r>
          </w:p>
        </w:tc>
      </w:tr>
      <w:tr>
        <w:tc>
          <w:tcPr>
            <w:tcW w:w="2017" w:type="dxa"/>
          </w:tcPr>
          <w:p>
            <w:pPr/>
            <w:r>
              <w:t xml:space="preserve">Bancos — pagos</w:t>
            </w:r>
          </w:p>
        </w:tc>
        <w:tc>
          <w:tcPr>
            <w:tcW w:w="4653" w:type="dxa"/>
          </w:tcPr>
          <w:p>
            <w:pPr/>
            <w:r>
              <w:t xml:space="preserve">Archivo de pagos de Banco Internacional y Banco del Pacífico; formato de nómina parametrizable</w:t>
            </w:r>
          </w:p>
        </w:tc>
        <w:tc>
          <w:tcPr>
            <w:tcW w:w="1226" w:type="dxa"/>
          </w:tcPr>
          <w:p>
            <w:pPr/>
            <w:r>
              <w:t xml:space="preserve">Salida (archivo)</w:t>
            </w:r>
          </w:p>
        </w:tc>
        <w:tc>
          <w:tcPr>
            <w:tcW w:w="1464" w:type="dxa"/>
          </w:tcPr>
          <w:p>
            <w:pPr/>
            <w:r>
              <w:t xml:space="preserve">Tesorería, RRHH</w:t>
            </w:r>
          </w:p>
        </w:tc>
      </w:tr>
      <w:tr>
        <w:tc>
          <w:tcPr>
            <w:tcW w:w="2017" w:type="dxa"/>
          </w:tcPr>
          <w:p>
            <w:pPr/>
            <w:r>
              <w:t xml:space="preserve">Bancos — extractos</w:t>
            </w:r>
          </w:p>
        </w:tc>
        <w:tc>
          <w:tcPr>
            <w:tcW w:w="4653" w:type="dxa"/>
          </w:tcPr>
          <w:p>
            <w:pPr/>
            <w:r>
              <w:t xml:space="preserve">Lectura de extractos en Excel de 11 entidades (Internacional, Pacífico, Atlántida, Austro, Guayaquil, Manabí, Policía Nacional, Alianza, JEP, Pichincha, Amazonas)</w:t>
            </w:r>
          </w:p>
        </w:tc>
        <w:tc>
          <w:tcPr>
            <w:tcW w:w="1226" w:type="dxa"/>
          </w:tcPr>
          <w:p>
            <w:pPr/>
            <w:r>
              <w:t xml:space="preserve">Entrada (archivo)</w:t>
            </w:r>
          </w:p>
        </w:tc>
        <w:tc>
          <w:tcPr>
            <w:tcW w:w="1464" w:type="dxa"/>
          </w:tcPr>
          <w:p>
            <w:pPr/>
            <w:r>
              <w:t xml:space="preserve">Tesorería</w:t>
            </w:r>
          </w:p>
        </w:tc>
      </w:tr>
      <w:tr>
        <w:tc>
          <w:tcPr>
            <w:tcW w:w="2017" w:type="dxa"/>
          </w:tcPr>
          <w:p>
            <w:pPr/>
            <w:r>
              <w:t xml:space="preserve">IESS</w:t>
            </w:r>
          </w:p>
        </w:tc>
        <w:tc>
          <w:tcPr>
            <w:tcW w:w="4653" w:type="dxa"/>
          </w:tcPr>
          <w:p>
            <w:pPr/>
            <w:r>
              <w:t xml:space="preserve">Archivos de planillas y novedades</w:t>
            </w:r>
          </w:p>
        </w:tc>
        <w:tc>
          <w:tcPr>
            <w:tcW w:w="1226" w:type="dxa"/>
          </w:tcPr>
          <w:p>
            <w:pPr/>
            <w:r>
              <w:t xml:space="preserve">Salida (archivo)</w:t>
            </w:r>
          </w:p>
        </w:tc>
        <w:tc>
          <w:tcPr>
            <w:tcW w:w="1464" w:type="dxa"/>
          </w:tcPr>
          <w:p>
            <w:pPr/>
            <w:r>
              <w:t xml:space="preserve">RRHH</w:t>
            </w:r>
          </w:p>
        </w:tc>
      </w:tr>
      <w:tr>
        <w:tc>
          <w:tcPr>
            <w:tcW w:w="2017" w:type="dxa"/>
          </w:tcPr>
          <w:p>
            <w:pPr/>
            <w:r>
              <w:t xml:space="preserve">Superintendencia de Bancos</w:t>
            </w:r>
          </w:p>
        </w:tc>
        <w:tc>
          <w:tcPr>
            <w:tcW w:w="4653" w:type="dxa"/>
          </w:tcPr>
          <w:p>
            <w:pPr/>
            <w:r>
              <w:t xml:space="preserve">Estructuras G40 a G51</w:t>
            </w:r>
          </w:p>
        </w:tc>
        <w:tc>
          <w:tcPr>
            <w:tcW w:w="1226" w:type="dxa"/>
          </w:tcPr>
          <w:p>
            <w:pPr/>
            <w:r>
              <w:t xml:space="preserve">Salida (archivo)</w:t>
            </w:r>
          </w:p>
        </w:tc>
        <w:tc>
          <w:tcPr>
            <w:tcW w:w="1464" w:type="dxa"/>
          </w:tcPr>
          <w:p>
            <w:pPr/>
            <w:r>
              <w:t xml:space="preserve">Reportes regulatorios</w:t>
            </w:r>
          </w:p>
        </w:tc>
      </w:tr>
      <w:tr>
        <w:tc>
          <w:tcPr>
            <w:tcW w:w="2017" w:type="dxa"/>
          </w:tcPr>
          <w:p>
            <w:pPr/>
            <w:r>
              <w:t xml:space="preserve">App móvil</w:t>
            </w:r>
          </w:p>
        </w:tc>
        <w:tc>
          <w:tcPr>
            <w:tcW w:w="4653" w:type="dxa"/>
          </w:tcPr>
          <w:p>
            <w:pPr/>
            <w:r>
              <w:t xml:space="preserve">HTTPS hacia </w:t>
            </w:r>
            <w:r>
              <w:rPr>
                <w:rStyle w:val="CodeChar"/>
              </w:rPr>
              <w:t xml:space="preserve">SaaMovilBE</w:t>
            </w:r>
            <w:r>
              <w:t xml:space="preserve">, que reenvía a </w:t>
            </w:r>
            <w:r>
              <w:rPr>
                <w:rStyle w:val="CodeChar"/>
              </w:rPr>
              <w:t xml:space="preserve">/SaaBE/movil</w:t>
            </w:r>
            <w:r>
              <w:t xml:space="preserve"> con secreto compartido</w:t>
            </w:r>
          </w:p>
        </w:tc>
        <w:tc>
          <w:tcPr>
            <w:tcW w:w="1226" w:type="dxa"/>
          </w:tcPr>
          <w:p>
            <w:pPr/>
            <w:r>
              <w:t xml:space="preserve">Consulta</w:t>
            </w:r>
          </w:p>
        </w:tc>
        <w:tc>
          <w:tcPr>
            <w:tcW w:w="1464" w:type="dxa"/>
          </w:tcPr>
          <w:p>
            <w:pPr/>
            <w:r>
              <w:t xml:space="preserve">Créditos</w:t>
            </w:r>
          </w:p>
        </w:tc>
      </w:tr>
    </w:tbl>
    <w:p>
      <w:pPr>
        <w:pStyle w:val="Heading3"/>
      </w:pPr>
      <w:r>
        <w:t xml:space="preserve">3.4. Integración entre módulos</w:t>
      </w:r>
    </w:p>
    <w:p>
      <w:pPr/>
      <w:r>
        <w:drawing>
          <wp:inline distT="0" distB="0" distL="0" distR="0">
            <wp:extent cx="5486400" cy="3314700"/>
            <wp:docPr id="3" name="image3" descr="Integración entre módulos · contabilización por plantillas"/>
            <a:graphic xmlns:a="http://schemas.openxmlformats.org/drawingml/2006/main">
              <a:graphicData uri="http://schemas.openxmlformats.org/drawingml/2006/picture">
                <pic:pic xmlns:pic="http://schemas.openxmlformats.org/drawingml/2006/picture">
                  <pic:nvPicPr>
                    <pic:cNvPr id="3" name="image3" descr="Integración entre módulos · contabilización por plantillas"/>
                    <pic:cNvPicPr/>
                  </pic:nvPicPr>
                  <pic:blipFill>
                    <a:blip r:embed="rId5"/>
                    <a:stretch>
                      <a:fillRect/>
                    </a:stretch>
                  </pic:blipFill>
                  <pic:spPr>
                    <a:xfrm>
                      <a:off x="0" y="0"/>
                      <a:ext cx="5486400" cy="3314700"/>
                    </a:xfrm>
                    <a:prstGeom prst="rect">
                      <a:avLst/>
                    </a:prstGeom>
                  </pic:spPr>
                </pic:pic>
              </a:graphicData>
            </a:graphic>
          </wp:inline>
        </w:drawing>
      </w:r>
    </w:p>
    <w:p>
      <w:pPr/>
      <w:r>
        <w:t xml:space="preserve">Integración entre módulos · contabilización por plantillas</w:t>
      </w:r>
    </w:p>
    <w:p>
      <w:pPr/>
      <w:r>
        <w:t xml:space="preserve">Cada evento con efecto contable (desembolso, cobro, factura, pago, rol de pagos) genera su asiento con la plantilla de su tipo y producto. Tesorería ejecuta los pagos que originan Cuentas por Pagar, RRHH y Créditos, y registra los cobros que aplican a Cuentas por Cobrar.</w:t>
      </w:r>
    </w:p>
    <w:p>
      <w:pPr>
        <w:pStyle w:val="Heading2"/>
      </w:pPr>
      <w:r>
        <w:t xml:space="preserve">4. Inventario de módulos implementados</w:t>
      </w:r>
    </w:p>
    <w:p>
      <w:pPr/>
      <w:r>
        <w:t xml:space="preserve">El SAA tiene </w:t>
      </w:r>
      <w:r>
        <w:rPr>
          <w:b/>
        </w:rPr>
        <w:t xml:space="preserve">ocho módulos en producción desde agosto de 2026</w:t>
      </w:r>
      <w:r>
        <w:t xml:space="preserve">, más la aplicación móvil, que está desarrollada y pendiente de publicación. Las cifras se midieron en el código fuente al 24 de octubre de 2026: tablas son entidades mapeadas, operaciones son los servicios REST expuestos, pantallas son componentes del frontend, opciones son las entradas del menú y reportes son las plantillas JasperReports.</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Módulo</w:t>
            </w:r>
          </w:p>
        </w:tc>
        <w:tc>
          <w:tcPr>
            <w:tcW w:w="1040" w:type="dxa"/>
            <w:shd w:val="clear" w:color="auto" w:fill="F2F2F2"/>
          </w:tcPr>
          <w:p>
            <w:pPr/>
            <w:r>
              <w:t xml:space="preserve">Esquema</w:t>
            </w:r>
          </w:p>
        </w:tc>
        <w:tc>
          <w:tcPr>
            <w:tcW w:w="1040" w:type="dxa"/>
            <w:shd w:val="clear" w:color="auto" w:fill="F2F2F2"/>
          </w:tcPr>
          <w:p>
            <w:pPr/>
            <w:r>
              <w:t xml:space="preserve">Funciones principales</w:t>
            </w:r>
          </w:p>
        </w:tc>
        <w:tc>
          <w:tcPr>
            <w:tcW w:w="1040" w:type="dxa"/>
            <w:shd w:val="clear" w:color="auto" w:fill="F2F2F2"/>
          </w:tcPr>
          <w:p>
            <w:pPr/>
            <w:r>
              <w:t xml:space="preserve">Tablas</w:t>
            </w:r>
          </w:p>
        </w:tc>
        <w:tc>
          <w:tcPr>
            <w:tcW w:w="1040" w:type="dxa"/>
            <w:shd w:val="clear" w:color="auto" w:fill="F2F2F2"/>
          </w:tcPr>
          <w:p>
            <w:pPr/>
            <w:r>
              <w:t xml:space="preserve">Operaciones</w:t>
            </w:r>
          </w:p>
        </w:tc>
        <w:tc>
          <w:tcPr>
            <w:tcW w:w="1040" w:type="dxa"/>
            <w:shd w:val="clear" w:color="auto" w:fill="F2F2F2"/>
          </w:tcPr>
          <w:p>
            <w:pPr/>
            <w:r>
              <w:t xml:space="preserve">Pantallas</w:t>
            </w:r>
          </w:p>
        </w:tc>
        <w:tc>
          <w:tcPr>
            <w:tcW w:w="1040" w:type="dxa"/>
            <w:shd w:val="clear" w:color="auto" w:fill="F2F2F2"/>
          </w:tcPr>
          <w:p>
            <w:pPr/>
            <w:r>
              <w:t xml:space="preserve">Opciones de menú</w:t>
            </w:r>
          </w:p>
        </w:tc>
        <w:tc>
          <w:tcPr>
            <w:tcW w:w="1040" w:type="dxa"/>
            <w:shd w:val="clear" w:color="auto" w:fill="F2F2F2"/>
          </w:tcPr>
          <w:p>
            <w:pPr/>
            <w:r>
              <w:t xml:space="preserve">Reportes</w:t>
            </w:r>
          </w:p>
        </w:tc>
        <w:tc>
          <w:tcPr>
            <w:tcW w:w="1040" w:type="dxa"/>
            <w:shd w:val="clear" w:color="auto" w:fill="F2F2F2"/>
          </w:tcPr>
          <w:p>
            <w:pPr/>
            <w:r>
              <w:t xml:space="preserve">Estado</w:t>
            </w:r>
          </w:p>
        </w:tc>
      </w:tr>
      <w:tr>
        <w:tc>
          <w:tcPr>
            <w:tcW w:w="1040" w:type="dxa"/>
          </w:tcPr>
          <w:p>
            <w:pPr/>
            <w:r>
              <w:t xml:space="preserve">Créditos (inversiones privativas)</w:t>
            </w:r>
          </w:p>
        </w:tc>
        <w:tc>
          <w:tcPr>
            <w:tcW w:w="1040" w:type="dxa"/>
          </w:tcPr>
          <w:p>
            <w:pPr/>
            <w:r>
              <w:t xml:space="preserve">CRD</w:t>
            </w:r>
          </w:p>
        </w:tc>
        <w:tc>
          <w:tcPr>
            <w:tcW w:w="1040" w:type="dxa"/>
          </w:tcPr>
          <w:p>
            <w:pPr/>
            <w:r>
              <w:t xml:space="preserve">Partícipes y contratos; aportes y devolución; cesantía y jubilación; préstamos (simulación, tabla, aprobación, desembolso); pago de cuotas, abono a capital, precancelación; mora diaria; carga y generación del archivo de Petrocomercial; cierre de cartera; seguros; contabilización con bandeja de aprobación</w:t>
            </w:r>
          </w:p>
        </w:tc>
        <w:tc>
          <w:tcPr>
            <w:tcW w:w="1040" w:type="dxa"/>
          </w:tcPr>
          <w:p>
            <w:pPr/>
            <w:r>
              <w:t xml:space="preserve">115</w:t>
            </w:r>
          </w:p>
        </w:tc>
        <w:tc>
          <w:tcPr>
            <w:tcW w:w="1040" w:type="dxa"/>
          </w:tcPr>
          <w:p>
            <w:pPr/>
            <w:r>
              <w:t xml:space="preserve">738</w:t>
            </w:r>
          </w:p>
        </w:tc>
        <w:tc>
          <w:tcPr>
            <w:tcW w:w="1040" w:type="dxa"/>
          </w:tcPr>
          <w:p>
            <w:pPr/>
            <w:r>
              <w:t xml:space="preserve">98</w:t>
            </w:r>
          </w:p>
        </w:tc>
        <w:tc>
          <w:tcPr>
            <w:tcW w:w="1040" w:type="dxa"/>
          </w:tcPr>
          <w:p>
            <w:pPr/>
            <w:r>
              <w:t xml:space="preserve">63</w:t>
            </w:r>
          </w:p>
        </w:tc>
        <w:tc>
          <w:tcPr>
            <w:tcW w:w="1040" w:type="dxa"/>
          </w:tcPr>
          <w:p>
            <w:pPr/>
            <w:r>
              <w:t xml:space="preserve">30</w:t>
            </w:r>
          </w:p>
        </w:tc>
        <w:tc>
          <w:tcPr>
            <w:tcW w:w="1040" w:type="dxa"/>
          </w:tcPr>
          <w:p>
            <w:pPr/>
            <w:r>
              <w:t xml:space="preserve">Producción</w:t>
            </w:r>
          </w:p>
        </w:tc>
      </w:tr>
      <w:tr>
        <w:tc>
          <w:tcPr>
            <w:tcW w:w="1040" w:type="dxa"/>
          </w:tcPr>
          <w:p>
            <w:pPr/>
            <w:r>
              <w:t xml:space="preserve">Recursos Humanos</w:t>
            </w:r>
          </w:p>
        </w:tc>
        <w:tc>
          <w:tcPr>
            <w:tcW w:w="1040" w:type="dxa"/>
          </w:tcPr>
          <w:p>
            <w:pPr/>
            <w:r>
              <w:t xml:space="preserve">RHH</w:t>
            </w:r>
          </w:p>
        </w:tc>
        <w:tc>
          <w:tcPr>
            <w:tcW w:w="1040" w:type="dxa"/>
          </w:tcPr>
          <w:p>
            <w:pPr/>
            <w:r>
              <w:t xml:space="preserve">Ficha y contratos; conceptos y parámetros de nómina; rol de pagos y contabilización; órdenes de pago y archivo bancario; IESS; marcaciones; vacaciones y permisos; liquidaciones y beneficios sociales; utilidades; impuesto a la renta</w:t>
            </w:r>
          </w:p>
        </w:tc>
        <w:tc>
          <w:tcPr>
            <w:tcW w:w="1040" w:type="dxa"/>
          </w:tcPr>
          <w:p>
            <w:pPr/>
            <w:r>
              <w:t xml:space="preserve">63</w:t>
            </w:r>
          </w:p>
        </w:tc>
        <w:tc>
          <w:tcPr>
            <w:tcW w:w="1040" w:type="dxa"/>
          </w:tcPr>
          <w:p>
            <w:pPr/>
            <w:r>
              <w:t xml:space="preserve">434</w:t>
            </w:r>
          </w:p>
        </w:tc>
        <w:tc>
          <w:tcPr>
            <w:tcW w:w="1040" w:type="dxa"/>
          </w:tcPr>
          <w:p>
            <w:pPr/>
            <w:r>
              <w:t xml:space="preserve">68</w:t>
            </w:r>
          </w:p>
        </w:tc>
        <w:tc>
          <w:tcPr>
            <w:tcW w:w="1040" w:type="dxa"/>
          </w:tcPr>
          <w:p>
            <w:pPr/>
            <w:r>
              <w:t xml:space="preserve">47</w:t>
            </w:r>
          </w:p>
        </w:tc>
        <w:tc>
          <w:tcPr>
            <w:tcW w:w="1040" w:type="dxa"/>
          </w:tcPr>
          <w:p>
            <w:pPr/>
            <w:r>
              <w:t xml:space="preserve">8</w:t>
            </w:r>
          </w:p>
        </w:tc>
        <w:tc>
          <w:tcPr>
            <w:tcW w:w="1040" w:type="dxa"/>
          </w:tcPr>
          <w:p>
            <w:pPr/>
            <w:r>
              <w:t xml:space="preserve">Producción</w:t>
            </w:r>
          </w:p>
        </w:tc>
      </w:tr>
      <w:tr>
        <w:tc>
          <w:tcPr>
            <w:tcW w:w="1040" w:type="dxa"/>
          </w:tcPr>
          <w:p>
            <w:pPr/>
            <w:r>
              <w:t xml:space="preserve">Tesorería</w:t>
            </w:r>
          </w:p>
        </w:tc>
        <w:tc>
          <w:tcPr>
            <w:tcW w:w="1040" w:type="dxa"/>
          </w:tcPr>
          <w:p>
            <w:pPr/>
            <w:r>
              <w:t xml:space="preserve">TSR</w:t>
            </w:r>
          </w:p>
        </w:tc>
        <w:tc>
          <w:tcPr>
            <w:tcW w:w="1040" w:type="dxa"/>
          </w:tcPr>
          <w:p>
            <w:pPr/>
            <w:r>
              <w:t xml:space="preserve">Bancos, cuentas y chequeras; cajas; cobros (efectivo, cheque, tarjeta, transferencia, retención); cierre de caja; depósitos; ingresos y egresos; aprobación de pagos y archivo bancario; extractos bancarios; conciliación bancaria</w:t>
            </w:r>
          </w:p>
        </w:tc>
        <w:tc>
          <w:tcPr>
            <w:tcW w:w="1040" w:type="dxa"/>
          </w:tcPr>
          <w:p>
            <w:pPr/>
            <w:r>
              <w:t xml:space="preserve">66</w:t>
            </w:r>
          </w:p>
        </w:tc>
        <w:tc>
          <w:tcPr>
            <w:tcW w:w="1040" w:type="dxa"/>
          </w:tcPr>
          <w:p>
            <w:pPr/>
            <w:r>
              <w:t xml:space="preserve">419</w:t>
            </w:r>
          </w:p>
        </w:tc>
        <w:tc>
          <w:tcPr>
            <w:tcW w:w="1040" w:type="dxa"/>
          </w:tcPr>
          <w:p>
            <w:pPr/>
            <w:r>
              <w:t xml:space="preserve">58</w:t>
            </w:r>
          </w:p>
        </w:tc>
        <w:tc>
          <w:tcPr>
            <w:tcW w:w="1040" w:type="dxa"/>
          </w:tcPr>
          <w:p>
            <w:pPr/>
            <w:r>
              <w:t xml:space="preserve">50</w:t>
            </w:r>
          </w:p>
        </w:tc>
        <w:tc>
          <w:tcPr>
            <w:tcW w:w="1040" w:type="dxa"/>
          </w:tcPr>
          <w:p>
            <w:pPr/>
            <w:r>
              <w:t xml:space="preserve">4</w:t>
            </w:r>
          </w:p>
        </w:tc>
        <w:tc>
          <w:tcPr>
            <w:tcW w:w="1040" w:type="dxa"/>
          </w:tcPr>
          <w:p>
            <w:pPr/>
            <w:r>
              <w:t xml:space="preserve">Producción</w:t>
            </w:r>
          </w:p>
        </w:tc>
      </w:tr>
      <w:tr>
        <w:tc>
          <w:tcPr>
            <w:tcW w:w="1040" w:type="dxa"/>
          </w:tcPr>
          <w:p>
            <w:pPr/>
            <w:r>
              <w:t xml:space="preserve">Cuentas por Pagar</w:t>
            </w:r>
          </w:p>
        </w:tc>
        <w:tc>
          <w:tcPr>
            <w:tcW w:w="1040" w:type="dxa"/>
          </w:tcPr>
          <w:p>
            <w:pPr/>
            <w:r>
              <w:t xml:space="preserve">PGS</w:t>
            </w:r>
          </w:p>
        </w:tc>
        <w:tc>
          <w:tcPr>
            <w:tcW w:w="1040" w:type="dxa"/>
          </w:tcPr>
          <w:p>
            <w:pPr/>
            <w:r>
              <w:t xml:space="preserve">Carga de comprobantes del SRI (TXT/XML); facturas de compra y retenciones; proposición y aprobación de pagos; pagos programados; anticipos y devoluciones; negociaciones con proveedores; reembolsos</w:t>
            </w:r>
          </w:p>
        </w:tc>
        <w:tc>
          <w:tcPr>
            <w:tcW w:w="1040" w:type="dxa"/>
          </w:tcPr>
          <w:p>
            <w:pPr/>
            <w:r>
              <w:t xml:space="preserve">66</w:t>
            </w:r>
          </w:p>
        </w:tc>
        <w:tc>
          <w:tcPr>
            <w:tcW w:w="1040" w:type="dxa"/>
          </w:tcPr>
          <w:p>
            <w:pPr/>
            <w:r>
              <w:t xml:space="preserve">471</w:t>
            </w:r>
          </w:p>
        </w:tc>
        <w:tc>
          <w:tcPr>
            <w:tcW w:w="1040" w:type="dxa"/>
          </w:tcPr>
          <w:p>
            <w:pPr/>
            <w:r>
              <w:t xml:space="preserve">31</w:t>
            </w:r>
          </w:p>
        </w:tc>
        <w:tc>
          <w:tcPr>
            <w:tcW w:w="1040" w:type="dxa"/>
          </w:tcPr>
          <w:p>
            <w:pPr/>
            <w:r>
              <w:t xml:space="preserve">20</w:t>
            </w:r>
          </w:p>
        </w:tc>
        <w:tc>
          <w:tcPr>
            <w:tcW w:w="1040" w:type="dxa"/>
          </w:tcPr>
          <w:p>
            <w:pPr/>
            <w:r>
              <w:t xml:space="preserve">1</w:t>
            </w:r>
          </w:p>
        </w:tc>
        <w:tc>
          <w:tcPr>
            <w:tcW w:w="1040" w:type="dxa"/>
          </w:tcPr>
          <w:p>
            <w:pPr/>
            <w:r>
              <w:t xml:space="preserve">Producción</w:t>
            </w:r>
          </w:p>
        </w:tc>
      </w:tr>
      <w:tr>
        <w:tc>
          <w:tcPr>
            <w:tcW w:w="1040" w:type="dxa"/>
          </w:tcPr>
          <w:p>
            <w:pPr/>
            <w:r>
              <w:t xml:space="preserve">Cuentas por Cobrar</w:t>
            </w:r>
          </w:p>
        </w:tc>
        <w:tc>
          <w:tcPr>
            <w:tcW w:w="1040" w:type="dxa"/>
          </w:tcPr>
          <w:p>
            <w:pPr/>
            <w:r>
              <w:t xml:space="preserve">CBR</w:t>
            </w:r>
          </w:p>
        </w:tc>
        <w:tc>
          <w:tcPr>
            <w:tcW w:w="1040" w:type="dxa"/>
          </w:tcPr>
          <w:p>
            <w:pPr/>
            <w:r>
              <w:t xml:space="preserve">Facturación electrónica; notas de crédito y débito; liquidaciones de compra; retenciones; anticipos de clientes y cruce; envío por correo; ATS y cuadre con el SRI</w:t>
            </w:r>
          </w:p>
        </w:tc>
        <w:tc>
          <w:tcPr>
            <w:tcW w:w="1040" w:type="dxa"/>
          </w:tcPr>
          <w:p>
            <w:pPr/>
            <w:r>
              <w:t xml:space="preserve">49</w:t>
            </w:r>
          </w:p>
        </w:tc>
        <w:tc>
          <w:tcPr>
            <w:tcW w:w="1040" w:type="dxa"/>
          </w:tcPr>
          <w:p>
            <w:pPr/>
            <w:r>
              <w:t xml:space="preserve">332</w:t>
            </w:r>
          </w:p>
        </w:tc>
        <w:tc>
          <w:tcPr>
            <w:tcW w:w="1040" w:type="dxa"/>
          </w:tcPr>
          <w:p>
            <w:pPr/>
            <w:r>
              <w:t xml:space="preserve">23</w:t>
            </w:r>
          </w:p>
        </w:tc>
        <w:tc>
          <w:tcPr>
            <w:tcW w:w="1040" w:type="dxa"/>
          </w:tcPr>
          <w:p>
            <w:pPr/>
            <w:r>
              <w:t xml:space="preserve">21</w:t>
            </w:r>
          </w:p>
        </w:tc>
        <w:tc>
          <w:tcPr>
            <w:tcW w:w="1040" w:type="dxa"/>
          </w:tcPr>
          <w:p>
            <w:pPr/>
            <w:r>
              <w:t xml:space="preserve">6</w:t>
            </w:r>
          </w:p>
        </w:tc>
        <w:tc>
          <w:tcPr>
            <w:tcW w:w="1040" w:type="dxa"/>
          </w:tcPr>
          <w:p>
            <w:pPr/>
            <w:r>
              <w:t xml:space="preserve">Producción</w:t>
            </w:r>
          </w:p>
        </w:tc>
      </w:tr>
      <w:tr>
        <w:tc>
          <w:tcPr>
            <w:tcW w:w="1040" w:type="dxa"/>
          </w:tcPr>
          <w:p>
            <w:pPr/>
            <w:r>
              <w:t xml:space="preserve">Contabilidad</w:t>
            </w:r>
          </w:p>
        </w:tc>
        <w:tc>
          <w:tcPr>
            <w:tcW w:w="1040" w:type="dxa"/>
          </w:tcPr>
          <w:p>
            <w:pPr/>
            <w:r>
              <w:t xml:space="preserve">CNT, AOT</w:t>
            </w:r>
          </w:p>
        </w:tc>
        <w:tc>
          <w:tcPr>
            <w:tcW w:w="1040" w:type="dxa"/>
          </w:tcPr>
          <w:p>
            <w:pPr/>
            <w:r>
              <w:t xml:space="preserve">Plan de cuentas; centros de costo; tipos de asiento; plantillas contables; asientos; periodos; mayorización; mayor analítico; balances y estados financieros</w:t>
            </w:r>
          </w:p>
        </w:tc>
        <w:tc>
          <w:tcPr>
            <w:tcW w:w="1040" w:type="dxa"/>
          </w:tcPr>
          <w:p>
            <w:pPr/>
            <w:r>
              <w:t xml:space="preserve">29</w:t>
            </w:r>
          </w:p>
        </w:tc>
        <w:tc>
          <w:tcPr>
            <w:tcW w:w="1040" w:type="dxa"/>
          </w:tcPr>
          <w:p>
            <w:pPr/>
            <w:r>
              <w:t xml:space="preserve">207</w:t>
            </w:r>
          </w:p>
        </w:tc>
        <w:tc>
          <w:tcPr>
            <w:tcW w:w="1040" w:type="dxa"/>
          </w:tcPr>
          <w:p>
            <w:pPr/>
            <w:r>
              <w:t xml:space="preserve">27</w:t>
            </w:r>
          </w:p>
        </w:tc>
        <w:tc>
          <w:tcPr>
            <w:tcW w:w="1040" w:type="dxa"/>
          </w:tcPr>
          <w:p>
            <w:pPr/>
            <w:r>
              <w:t xml:space="preserve">22</w:t>
            </w:r>
          </w:p>
        </w:tc>
        <w:tc>
          <w:tcPr>
            <w:tcW w:w="1040" w:type="dxa"/>
          </w:tcPr>
          <w:p>
            <w:pPr/>
            <w:r>
              <w:t xml:space="preserve">12</w:t>
            </w:r>
          </w:p>
        </w:tc>
        <w:tc>
          <w:tcPr>
            <w:tcW w:w="1040" w:type="dxa"/>
          </w:tcPr>
          <w:p>
            <w:pPr/>
            <w:r>
              <w:t xml:space="preserve">Producción</w:t>
            </w:r>
          </w:p>
        </w:tc>
      </w:tr>
      <w:tr>
        <w:tc>
          <w:tcPr>
            <w:tcW w:w="1040" w:type="dxa"/>
          </w:tcPr>
          <w:p>
            <w:pPr/>
            <w:r>
              <w:t xml:space="preserve">Reportes regulatorios</w:t>
            </w:r>
          </w:p>
        </w:tc>
        <w:tc>
          <w:tcPr>
            <w:tcW w:w="1040" w:type="dxa"/>
          </w:tcPr>
          <w:p>
            <w:pPr/>
            <w:r>
              <w:t xml:space="preserve">RPR</w:t>
            </w:r>
          </w:p>
        </w:tc>
        <w:tc>
          <w:tcPr>
            <w:tcW w:w="1040" w:type="dxa"/>
          </w:tcPr>
          <w:p>
            <w:pPr/>
            <w:r>
              <w:t xml:space="preserve">Estructuras G40 a G51 de la Superintendencia de Bancos; informes mensuales de cartera (CCPM, CPRM, CJBM)</w:t>
            </w:r>
          </w:p>
        </w:tc>
        <w:tc>
          <w:tcPr>
            <w:tcW w:w="1040" w:type="dxa"/>
          </w:tcPr>
          <w:p>
            <w:pPr/>
            <w:r>
              <w:t xml:space="preserve">33</w:t>
            </w:r>
          </w:p>
        </w:tc>
        <w:tc>
          <w:tcPr>
            <w:tcW w:w="1040" w:type="dxa"/>
          </w:tcPr>
          <w:p>
            <w:pPr/>
            <w:r>
              <w:t xml:space="preserve">128</w:t>
            </w:r>
          </w:p>
        </w:tc>
        <w:tc>
          <w:tcPr>
            <w:tcW w:w="1040" w:type="dxa"/>
          </w:tcPr>
          <w:p>
            <w:pPr/>
            <w:r>
              <w:t xml:space="preserve">3</w:t>
            </w:r>
          </w:p>
        </w:tc>
        <w:tc>
          <w:tcPr>
            <w:tcW w:w="1040" w:type="dxa"/>
          </w:tcPr>
          <w:p>
            <w:pPr/>
            <w:r>
              <w:t xml:space="preserve">2</w:t>
            </w:r>
          </w:p>
        </w:tc>
        <w:tc>
          <w:tcPr>
            <w:tcW w:w="1040" w:type="dxa"/>
          </w:tcPr>
          <w:p>
            <w:pPr/>
            <w:r>
              <w:t xml:space="preserve">— (genera archivos)</w:t>
            </w:r>
          </w:p>
        </w:tc>
        <w:tc>
          <w:tcPr>
            <w:tcW w:w="1040" w:type="dxa"/>
          </w:tcPr>
          <w:p>
            <w:pPr/>
            <w:r>
              <w:t xml:space="preserve">Producción</w:t>
            </w:r>
          </w:p>
        </w:tc>
      </w:tr>
      <w:tr>
        <w:tc>
          <w:tcPr>
            <w:tcW w:w="1040" w:type="dxa"/>
          </w:tcPr>
          <w:p>
            <w:pPr/>
            <w:r>
              <w:t xml:space="preserve">Seguridad y núcleo</w:t>
            </w:r>
          </w:p>
        </w:tc>
        <w:tc>
          <w:tcPr>
            <w:tcW w:w="1040" w:type="dxa"/>
          </w:tcPr>
          <w:p>
            <w:pPr/>
            <w:r>
              <w:t xml:space="preserve">SCP</w:t>
            </w:r>
          </w:p>
        </w:tc>
        <w:tc>
          <w:tcPr>
            <w:tcW w:w="1040" w:type="dxa"/>
          </w:tcPr>
          <w:p>
            <w:pPr/>
            <w:r>
              <w:t xml:space="preserve">Empresas, usuarios y jerarquía; inicio de sesión y cambio de clave; más de 120 catálogos; archivos adjuntos; generación de reportes</w:t>
            </w:r>
          </w:p>
        </w:tc>
        <w:tc>
          <w:tcPr>
            <w:tcW w:w="1040" w:type="dxa"/>
          </w:tcPr>
          <w:p>
            <w:pPr/>
            <w:r>
              <w:t xml:space="preserve">6</w:t>
            </w:r>
          </w:p>
        </w:tc>
        <w:tc>
          <w:tcPr>
            <w:tcW w:w="1040" w:type="dxa"/>
          </w:tcPr>
          <w:p>
            <w:pPr/>
            <w:r>
              <w:t xml:space="preserve">27</w:t>
            </w:r>
          </w:p>
        </w:tc>
        <w:tc>
          <w:tcPr>
            <w:tcW w:w="1040" w:type="dxa"/>
          </w:tcPr>
          <w:p>
            <w:pPr/>
            <w:r>
              <w:t xml:space="preserve">30 ²</w:t>
            </w:r>
          </w:p>
        </w:tc>
        <w:tc>
          <w:tcPr>
            <w:tcW w:w="1040" w:type="dxa"/>
          </w:tcPr>
          <w:p>
            <w:pPr/>
            <w:r>
              <w:t xml:space="preserve">—</w:t>
            </w:r>
          </w:p>
        </w:tc>
        <w:tc>
          <w:tcPr>
            <w:tcW w:w="1040" w:type="dxa"/>
          </w:tcPr>
          <w:p>
            <w:pPr/>
            <w:r>
              <w:t xml:space="preserve">—</w:t>
            </w:r>
          </w:p>
        </w:tc>
        <w:tc>
          <w:tcPr>
            <w:tcW w:w="1040" w:type="dxa"/>
          </w:tcPr>
          <w:p>
            <w:pPr/>
            <w:r>
              <w:t xml:space="preserve">Producción</w:t>
            </w:r>
          </w:p>
        </w:tc>
      </w:tr>
      <w:tr>
        <w:tc>
          <w:tcPr>
            <w:tcW w:w="1040" w:type="dxa"/>
          </w:tcPr>
          <w:p>
            <w:pPr/>
            <w:r>
              <w:t xml:space="preserve">Aplicación móvil ASOPREP CONTIGO</w:t>
            </w:r>
          </w:p>
        </w:tc>
        <w:tc>
          <w:tcPr>
            <w:tcW w:w="1040" w:type="dxa"/>
          </w:tcPr>
          <w:p>
            <w:pPr/>
            <w:r>
              <w:t xml:space="preserve">CRD (consulta)</w:t>
            </w:r>
          </w:p>
        </w:tc>
        <w:tc>
          <w:tcPr>
            <w:tcW w:w="1040" w:type="dxa"/>
          </w:tcPr>
          <w:p>
            <w:pPr/>
            <w:r>
              <w:t xml:space="preserve">Acceso del partícipe, recuperación de clave por correo, préstamos y cuotas, aportes, cuenta individual, simulador</w:t>
            </w:r>
          </w:p>
        </w:tc>
        <w:tc>
          <w:tcPr>
            <w:tcW w:w="1040" w:type="dxa"/>
          </w:tcPr>
          <w:p>
            <w:pPr/>
            <w:r>
              <w:t xml:space="preserve">1 (</w:t>
            </w:r>
            <w:r>
              <w:rPr>
                <w:rStyle w:val="CodeChar"/>
              </w:rPr>
              <w:t xml:space="preserve">CRD.USAP</w:t>
            </w:r>
            <w:r>
              <w:t xml:space="preserve">)</w:t>
            </w:r>
          </w:p>
        </w:tc>
        <w:tc>
          <w:tcPr>
            <w:tcW w:w="1040" w:type="dxa"/>
          </w:tcPr>
          <w:p>
            <w:pPr/>
            <w:r>
              <w:t xml:space="preserve">15 en </w:t>
            </w:r>
            <w:r>
              <w:rPr>
                <w:rStyle w:val="CodeChar"/>
              </w:rPr>
              <w:t xml:space="preserve">/movil</w:t>
            </w:r>
            <w:r>
              <w:t xml:space="preserve"> + 16 en la capa de borde</w:t>
            </w:r>
          </w:p>
        </w:tc>
        <w:tc>
          <w:tcPr>
            <w:tcW w:w="1040" w:type="dxa"/>
          </w:tcPr>
          <w:p>
            <w:pPr/>
            <w:r>
              <w:t xml:space="preserve">App Flutter 1.4.0</w:t>
            </w:r>
          </w:p>
        </w:tc>
        <w:tc>
          <w:tcPr>
            <w:tcW w:w="1040" w:type="dxa"/>
          </w:tcPr>
          <w:p>
            <w:pPr/>
            <w:r>
              <w:t xml:space="preserve">—</w:t>
            </w:r>
          </w:p>
        </w:tc>
        <w:tc>
          <w:tcPr>
            <w:tcW w:w="1040" w:type="dxa"/>
          </w:tcPr>
          <w:p>
            <w:pPr/>
            <w:r>
              <w:t xml:space="preserve">—</w:t>
            </w:r>
          </w:p>
        </w:tc>
        <w:tc>
          <w:tcPr>
            <w:tcW w:w="1040" w:type="dxa"/>
          </w:tcPr>
          <w:p>
            <w:pPr/>
            <w:r>
              <w:t xml:space="preserve">Desarrollada; </w:t>
            </w:r>
            <w:r>
              <w:rPr>
                <w:b/>
              </w:rPr>
              <w:t xml:space="preserve">pendiente de publicación</w:t>
            </w:r>
            <w:r>
              <w:t xml:space="preserve"> (IP pública y TLS)</w:t>
            </w:r>
          </w:p>
        </w:tc>
      </w:tr>
      <w:tr>
        <w:tc>
          <w:tcPr>
            <w:tcW w:w="1040" w:type="dxa"/>
          </w:tcPr>
          <w:p>
            <w:pPr/>
            <w:r>
              <w:rPr>
                <w:b/>
              </w:rPr>
              <w:t xml:space="preserve">Total</w:t>
            </w:r>
          </w:p>
        </w:tc>
        <w:tc>
          <w:tcPr>
            <w:tcW w:w="1040" w:type="dxa"/>
          </w:tcPr>
          <w:p>
            <w:pPr/>
            <w:r>
              <w:t xml:space="preserve">9 esquemas</w:t>
            </w:r>
          </w:p>
        </w:tc>
        <w:tc>
          <w:tcPr>
            <w:tcW w:w="1040" w:type="dxa"/>
          </w:tcPr>
          <w:p>
            <w:pPr/>
          </w:p>
        </w:tc>
        <w:tc>
          <w:tcPr>
            <w:tcW w:w="1040" w:type="dxa"/>
          </w:tcPr>
          <w:p>
            <w:pPr/>
            <w:r>
              <w:rPr>
                <w:b/>
              </w:rPr>
              <w:t xml:space="preserve">427</w:t>
            </w:r>
          </w:p>
        </w:tc>
        <w:tc>
          <w:tcPr>
            <w:tcW w:w="1040" w:type="dxa"/>
          </w:tcPr>
          <w:p>
            <w:pPr/>
            <w:r>
              <w:rPr>
                <w:b/>
              </w:rPr>
              <w:t xml:space="preserve">2.771</w:t>
            </w:r>
          </w:p>
        </w:tc>
        <w:tc>
          <w:tcPr>
            <w:tcW w:w="1040" w:type="dxa"/>
          </w:tcPr>
          <w:p>
            <w:pPr/>
            <w:r>
              <w:rPr>
                <w:b/>
              </w:rPr>
              <w:t xml:space="preserve">338</w:t>
            </w:r>
          </w:p>
        </w:tc>
        <w:tc>
          <w:tcPr>
            <w:tcW w:w="1040" w:type="dxa"/>
          </w:tcPr>
          <w:p>
            <w:pPr/>
            <w:r>
              <w:rPr>
                <w:b/>
              </w:rPr>
              <w:t xml:space="preserve">225</w:t>
            </w:r>
          </w:p>
        </w:tc>
        <w:tc>
          <w:tcPr>
            <w:tcW w:w="1040" w:type="dxa"/>
          </w:tcPr>
          <w:p>
            <w:pPr/>
            <w:r>
              <w:rPr>
                <w:b/>
              </w:rPr>
              <w:t xml:space="preserve">61</w:t>
            </w:r>
          </w:p>
        </w:tc>
        <w:tc>
          <w:tcPr>
            <w:tcW w:w="1040" w:type="dxa"/>
          </w:tcPr>
          <w:p>
            <w:pPr/>
          </w:p>
        </w:tc>
      </w:tr>
    </w:tbl>
    <w:p>
      <w:pPr/>
      <w:r>
        <w:t xml:space="preserve">² Incluye 26 componentes compartidos por todos los módulos (diálogos, tablas, filtros) y las pantallas de inicio de sesión y menú.</w:t>
      </w:r>
    </w:p>
    <w:p>
      <w:pPr/>
      <w:r>
        <w:t xml:space="preserve">Además hay un </w:t>
      </w:r>
      <w:r>
        <w:rPr>
          <w:b/>
        </w:rPr>
        <w:t xml:space="preserve">proceso automático</w:t>
      </w:r>
      <w:r>
        <w:t xml:space="preserve">: el cálculo del interés de mora de las cuotas vencidas, todos los días a las 02:00 (Créditos). El archivo de pagos por lote de Cuentas por Pagar está marcado en el código como provisional; los pagos a proveedores salen por el archivo bancario de Tesorería.</w:t>
      </w:r>
    </w:p>
    <w:p>
      <w:pPr/>
      <w:r>
        <w:rPr>
          <w:b/>
        </w:rPr>
        <w:t xml:space="preserve">Sistemas retirados.</w:t>
      </w:r>
      <w:r>
        <w:t xml:space="preserve"> DELTA 21, el sistema anterior, está retirado: su información histórica se migró al módulo de Créditos. En el 192.168.2.3 quedan contenedores apagados de una aplicación anterior (.NET con SQL Server), ajena al SAA. [Completar: confirmar si se retiran.]</w:t>
      </w:r>
    </w:p>
    <w:p>
      <w:pPr>
        <w:pStyle w:val="Heading2"/>
      </w:pPr>
      <w:r>
        <w:t xml:space="preserve">5. Usuarios configurados</w:t>
      </w:r>
    </w:p>
    <w:p>
      <w:pPr/>
      <w:r>
        <w:t xml:space="preserve">Los usuarios están en cuatro niveles: base de datos, servidores, aplicación SAA y aplicación móvil. Esta sección describe cómo está configurado cada nivel a la fecha de corte. </w:t>
      </w:r>
      <w:r>
        <w:rPr>
          <w:b/>
        </w:rPr>
        <w:t xml:space="preserve">Los listados con nombres se generan con las consultas de solo lectura del Anexo</w:t>
      </w:r>
      <w:r>
        <w:t xml:space="preserve">, las corre el administrador de base de datos, y se adjuntan con su fecha de corte.</w:t>
      </w:r>
    </w:p>
    <w:p>
      <w:pPr>
        <w:pStyle w:val="Heading3"/>
      </w:pPr>
      <w:r>
        <w:t xml:space="preserve">5.1. Base de datos (Oracle)</w:t>
      </w:r>
    </w:p>
    <w:p>
      <w:pPr/>
      <w:r>
        <w:t xml:space="preserve">Cada área tiene su propio esquema, que en Oracle es un usuario propietario de sus tablas. La aplicación se conecta con </w:t>
      </w:r>
      <w:r>
        <w:rPr>
          <w:b/>
        </w:rPr>
        <w:t xml:space="preserve">un único usuario</w:t>
      </w:r>
      <w:r>
        <w:t xml:space="preserve"> a través del datasource de WildFly y accede a los demás esquemas por permisos entre esquemas.</w:t>
      </w:r>
    </w:p>
    <w:tbl>
      <w:tblPr>
        <w:tblStyle w:val="TableGrid"/>
        <w:tblW w:w="0" w:type="auto"/>
        <w:tblLayout w:type="fixed"/>
        <w:tblLook w:val="04A0" w:firstRow="1" w:lastRow="0" w:firstColumn="0" w:lastColumn="0" w:noHBand="0" w:noVBand="1"/>
      </w:tblPr>
      <w:tblGrid>
        <w:gridCol w:w="1337"/>
        <w:gridCol w:w="1337"/>
        <w:gridCol w:w="1554"/>
        <w:gridCol w:w="1337"/>
        <w:gridCol w:w="1232"/>
        <w:gridCol w:w="1337"/>
        <w:gridCol w:w="1225"/>
      </w:tblGrid>
      <w:tr>
        <w:trPr>
          <w:tblHeader/>
        </w:trPr>
        <w:tc>
          <w:tcPr>
            <w:tcW w:w="1337" w:type="dxa"/>
            <w:shd w:val="clear" w:color="auto" w:fill="F2F2F2"/>
          </w:tcPr>
          <w:p>
            <w:pPr/>
            <w:r>
              <w:t xml:space="preserve">Usuario de BD</w:t>
            </w:r>
          </w:p>
        </w:tc>
        <w:tc>
          <w:tcPr>
            <w:tcW w:w="1337" w:type="dxa"/>
            <w:shd w:val="clear" w:color="auto" w:fill="F2F2F2"/>
          </w:tcPr>
          <w:p>
            <w:pPr/>
            <w:r>
              <w:t xml:space="preserve">Tipo</w:t>
            </w:r>
          </w:p>
        </w:tc>
        <w:tc>
          <w:tcPr>
            <w:tcW w:w="1554" w:type="dxa"/>
            <w:shd w:val="clear" w:color="auto" w:fill="F2F2F2"/>
          </w:tcPr>
          <w:p>
            <w:pPr/>
            <w:r>
              <w:t xml:space="preserve">Uso</w:t>
            </w:r>
          </w:p>
        </w:tc>
        <w:tc>
          <w:tcPr>
            <w:tcW w:w="1337" w:type="dxa"/>
            <w:shd w:val="clear" w:color="auto" w:fill="F2F2F2"/>
          </w:tcPr>
          <w:p>
            <w:pPr/>
            <w:r>
              <w:t xml:space="preserve">Responsable</w:t>
            </w:r>
          </w:p>
        </w:tc>
        <w:tc>
          <w:tcPr>
            <w:tcW w:w="1232" w:type="dxa"/>
            <w:shd w:val="clear" w:color="auto" w:fill="F2F2F2"/>
          </w:tcPr>
          <w:p>
            <w:pPr/>
            <w:r>
              <w:t xml:space="preserve">Área</w:t>
            </w:r>
          </w:p>
        </w:tc>
        <w:tc>
          <w:tcPr>
            <w:tcW w:w="1337" w:type="dxa"/>
            <w:shd w:val="clear" w:color="auto" w:fill="F2F2F2"/>
          </w:tcPr>
          <w:p>
            <w:pPr/>
            <w:r>
              <w:t xml:space="preserve">Roles y privilegios</w:t>
            </w:r>
          </w:p>
        </w:tc>
        <w:tc>
          <w:tcPr>
            <w:tcW w:w="1225" w:type="dxa"/>
            <w:shd w:val="clear" w:color="auto" w:fill="F2F2F2"/>
          </w:tcPr>
          <w:p>
            <w:pPr/>
            <w:r>
              <w:t xml:space="preserve">Estado</w:t>
            </w:r>
          </w:p>
        </w:tc>
      </w:tr>
      <w:tr>
        <w:tc>
          <w:tcPr>
            <w:tcW w:w="1337" w:type="dxa"/>
          </w:tcPr>
          <w:p>
            <w:pPr/>
            <w:r>
              <w:t xml:space="preserve">CNT, CRD, CBR, PGS, TSR, RHH, RPR, AOT, PRG</w:t>
            </w:r>
          </w:p>
        </w:tc>
        <w:tc>
          <w:tcPr>
            <w:tcW w:w="1337" w:type="dxa"/>
          </w:tcPr>
          <w:p>
            <w:pPr/>
            <w:r>
              <w:t xml:space="preserve">Propietario de esquema</w:t>
            </w:r>
          </w:p>
        </w:tc>
        <w:tc>
          <w:tcPr>
            <w:tcW w:w="1554" w:type="dxa"/>
          </w:tcPr>
          <w:p>
            <w:pPr/>
            <w:r>
              <w:t xml:space="preserve">Contienen las tablas de cada módulo; no se usan para conectarse</w:t>
            </w:r>
          </w:p>
        </w:tc>
        <w:tc>
          <w:tcPr>
            <w:tcW w:w="1337" w:type="dxa"/>
          </w:tcPr>
          <w:p>
            <w:pPr/>
            <w:r>
              <w:t xml:space="preserve">[Completar]</w:t>
            </w:r>
          </w:p>
        </w:tc>
        <w:tc>
          <w:tcPr>
            <w:tcW w:w="1232" w:type="dxa"/>
          </w:tcPr>
          <w:p>
            <w:pPr/>
            <w:r>
              <w:t xml:space="preserve">Sistemas</w:t>
            </w:r>
          </w:p>
        </w:tc>
        <w:tc>
          <w:tcPr>
            <w:tcW w:w="1337" w:type="dxa"/>
          </w:tcPr>
          <w:p>
            <w:pPr/>
            <w:r>
              <w:t xml:space="preserve">[Consulta A.4]</w:t>
            </w:r>
          </w:p>
        </w:tc>
        <w:tc>
          <w:tcPr>
            <w:tcW w:w="1225" w:type="dxa"/>
          </w:tcPr>
          <w:p>
            <w:pPr/>
            <w:r>
              <w:t xml:space="preserve">[Consulta A.4]</w:t>
            </w:r>
          </w:p>
        </w:tc>
      </w:tr>
      <w:tr>
        <w:tc>
          <w:tcPr>
            <w:tcW w:w="1337" w:type="dxa"/>
          </w:tcPr>
          <w:p>
            <w:pPr/>
            <w:r>
              <w:t xml:space="preserve">SCP</w:t>
            </w:r>
          </w:p>
        </w:tc>
        <w:tc>
          <w:tcPr>
            <w:tcW w:w="1337" w:type="dxa"/>
          </w:tcPr>
          <w:p>
            <w:pPr/>
            <w:r>
              <w:t xml:space="preserve">Propietario de esquema y usuario del datasource ³</w:t>
            </w:r>
          </w:p>
        </w:tc>
        <w:tc>
          <w:tcPr>
            <w:tcW w:w="1554" w:type="dxa"/>
          </w:tcPr>
          <w:p>
            <w:pPr/>
            <w:r>
              <w:t xml:space="preserve">Esquema del núcleo; conexión de la aplicación</w:t>
            </w:r>
          </w:p>
        </w:tc>
        <w:tc>
          <w:tcPr>
            <w:tcW w:w="1337" w:type="dxa"/>
          </w:tcPr>
          <w:p>
            <w:pPr/>
            <w:r>
              <w:t xml:space="preserve">[Completar]</w:t>
            </w:r>
          </w:p>
        </w:tc>
        <w:tc>
          <w:tcPr>
            <w:tcW w:w="1232" w:type="dxa"/>
          </w:tcPr>
          <w:p>
            <w:pPr/>
            <w:r>
              <w:t xml:space="preserve">Sistemas</w:t>
            </w:r>
          </w:p>
        </w:tc>
        <w:tc>
          <w:tcPr>
            <w:tcW w:w="1337" w:type="dxa"/>
          </w:tcPr>
          <w:p>
            <w:pPr/>
            <w:r>
              <w:t xml:space="preserve">[Consulta A.4]</w:t>
            </w:r>
          </w:p>
        </w:tc>
        <w:tc>
          <w:tcPr>
            <w:tcW w:w="1225" w:type="dxa"/>
          </w:tcPr>
          <w:p>
            <w:pPr/>
            <w:r>
              <w:t xml:space="preserve">[Consulta A.4]</w:t>
            </w:r>
          </w:p>
        </w:tc>
      </w:tr>
      <w:tr>
        <w:tc>
          <w:tcPr>
            <w:tcW w:w="1337" w:type="dxa"/>
          </w:tcPr>
          <w:p>
            <w:pPr/>
            <w:r>
              <w:t xml:space="preserve">SYS, SYSTEM</w:t>
            </w:r>
          </w:p>
        </w:tc>
        <w:tc>
          <w:tcPr>
            <w:tcW w:w="1337" w:type="dxa"/>
          </w:tcPr>
          <w:p>
            <w:pPr/>
            <w:r>
              <w:t xml:space="preserve">Administración de Oracle</w:t>
            </w:r>
          </w:p>
        </w:tc>
        <w:tc>
          <w:tcPr>
            <w:tcW w:w="1554" w:type="dxa"/>
          </w:tcPr>
          <w:p>
            <w:pPr/>
            <w:r>
              <w:t xml:space="preserve">Administración de la base, respaldos y clonado a pruebas</w:t>
            </w:r>
          </w:p>
        </w:tc>
        <w:tc>
          <w:tcPr>
            <w:tcW w:w="1337" w:type="dxa"/>
          </w:tcPr>
          <w:p>
            <w:pPr/>
            <w:r>
              <w:t xml:space="preserve">[Completar]</w:t>
            </w:r>
          </w:p>
        </w:tc>
        <w:tc>
          <w:tcPr>
            <w:tcW w:w="1232" w:type="dxa"/>
          </w:tcPr>
          <w:p>
            <w:pPr/>
            <w:r>
              <w:t xml:space="preserve">Sistemas</w:t>
            </w:r>
          </w:p>
        </w:tc>
        <w:tc>
          <w:tcPr>
            <w:tcW w:w="1337" w:type="dxa"/>
          </w:tcPr>
          <w:p>
            <w:pPr/>
            <w:r>
              <w:t xml:space="preserve">DBA</w:t>
            </w:r>
          </w:p>
        </w:tc>
        <w:tc>
          <w:tcPr>
            <w:tcW w:w="1225" w:type="dxa"/>
          </w:tcPr>
          <w:p>
            <w:pPr/>
            <w:r>
              <w:t xml:space="preserve">[Consulta A.4]</w:t>
            </w:r>
          </w:p>
        </w:tc>
      </w:tr>
      <w:tr>
        <w:tc>
          <w:tcPr>
            <w:tcW w:w="1337" w:type="dxa"/>
          </w:tcPr>
          <w:p>
            <w:pPr/>
            <w:r>
              <w:t xml:space="preserve">PDBADMIN</w:t>
            </w:r>
          </w:p>
        </w:tc>
        <w:tc>
          <w:tcPr>
            <w:tcW w:w="1337" w:type="dxa"/>
          </w:tcPr>
          <w:p>
            <w:pPr/>
            <w:r>
              <w:t xml:space="preserve">Administración del PDB</w:t>
            </w:r>
          </w:p>
        </w:tc>
        <w:tc>
          <w:tcPr>
            <w:tcW w:w="1554" w:type="dxa"/>
          </w:tcPr>
          <w:p>
            <w:pPr/>
            <w:r>
              <w:t xml:space="preserve">Creado por la imagen de Oracle</w:t>
            </w:r>
          </w:p>
        </w:tc>
        <w:tc>
          <w:tcPr>
            <w:tcW w:w="1337" w:type="dxa"/>
          </w:tcPr>
          <w:p>
            <w:pPr/>
            <w:r>
              <w:t xml:space="preserve">[Completar]</w:t>
            </w:r>
          </w:p>
        </w:tc>
        <w:tc>
          <w:tcPr>
            <w:tcW w:w="1232" w:type="dxa"/>
          </w:tcPr>
          <w:p>
            <w:pPr/>
            <w:r>
              <w:t xml:space="preserve">Sistemas</w:t>
            </w:r>
          </w:p>
        </w:tc>
        <w:tc>
          <w:tcPr>
            <w:tcW w:w="1337" w:type="dxa"/>
          </w:tcPr>
          <w:p>
            <w:pPr/>
            <w:r>
              <w:t xml:space="preserve">[Consulta A.4]</w:t>
            </w:r>
          </w:p>
        </w:tc>
        <w:tc>
          <w:tcPr>
            <w:tcW w:w="1225" w:type="dxa"/>
          </w:tcPr>
          <w:p>
            <w:pPr/>
            <w:r>
              <w:t xml:space="preserve">[Consulta A.4]</w:t>
            </w:r>
          </w:p>
        </w:tc>
      </w:tr>
      <w:tr>
        <w:tc>
          <w:tcPr>
            <w:tcW w:w="1337" w:type="dxa"/>
          </w:tcPr>
          <w:p>
            <w:pPr/>
            <w:r>
              <w:t xml:space="preserve">[Otros que devuelva la consulta]</w:t>
            </w:r>
          </w:p>
        </w:tc>
        <w:tc>
          <w:tcPr>
            <w:tcW w:w="1337" w:type="dxa"/>
          </w:tcPr>
          <w:p>
            <w:pPr/>
          </w:p>
        </w:tc>
        <w:tc>
          <w:tcPr>
            <w:tcW w:w="1554" w:type="dxa"/>
          </w:tcPr>
          <w:p>
            <w:pPr/>
          </w:p>
        </w:tc>
        <w:tc>
          <w:tcPr>
            <w:tcW w:w="1337" w:type="dxa"/>
          </w:tcPr>
          <w:p>
            <w:pPr/>
          </w:p>
        </w:tc>
        <w:tc>
          <w:tcPr>
            <w:tcW w:w="1232" w:type="dxa"/>
          </w:tcPr>
          <w:p>
            <w:pPr/>
          </w:p>
        </w:tc>
        <w:tc>
          <w:tcPr>
            <w:tcW w:w="1337" w:type="dxa"/>
          </w:tcPr>
          <w:p>
            <w:pPr/>
          </w:p>
        </w:tc>
        <w:tc>
          <w:tcPr>
            <w:tcW w:w="1225" w:type="dxa"/>
          </w:tcPr>
          <w:p>
            <w:pPr/>
          </w:p>
        </w:tc>
      </w:tr>
    </w:tbl>
    <w:p>
      <w:pPr/>
      <w:r>
        <w:t xml:space="preserve">³ La configuración de referencia del proyecto conecta el datasource con </w:t>
      </w:r>
      <w:r>
        <w:rPr>
          <w:rStyle w:val="CodeChar"/>
        </w:rPr>
        <w:t xml:space="preserve">SCP</w:t>
      </w:r>
      <w:r>
        <w:t xml:space="preserve">. Confirmar en el </w:t>
      </w:r>
      <w:r>
        <w:rPr>
          <w:rStyle w:val="CodeChar"/>
        </w:rPr>
        <w:t xml:space="preserve">standalone.xml</w:t>
      </w:r>
      <w:r>
        <w:t xml:space="preserve"> de producción.</w:t>
      </w:r>
    </w:p>
    <w:p>
      <w:pPr>
        <w:pStyle w:val="Heading3"/>
      </w:pPr>
      <w:r>
        <w:t xml:space="preserve">5.2. Servidores (Windows Server)</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Servidor</w:t>
            </w:r>
          </w:p>
        </w:tc>
        <w:tc>
          <w:tcPr>
            <w:tcW w:w="1337" w:type="dxa"/>
            <w:shd w:val="clear" w:color="auto" w:fill="F2F2F2"/>
          </w:tcPr>
          <w:p>
            <w:pPr/>
            <w:r>
              <w:t xml:space="preserve">Usuario</w:t>
            </w:r>
          </w:p>
        </w:tc>
        <w:tc>
          <w:tcPr>
            <w:tcW w:w="1337" w:type="dxa"/>
            <w:shd w:val="clear" w:color="auto" w:fill="F2F2F2"/>
          </w:tcPr>
          <w:p>
            <w:pPr/>
            <w:r>
              <w:t xml:space="preserve">Nombres y apellidos</w:t>
            </w:r>
          </w:p>
        </w:tc>
        <w:tc>
          <w:tcPr>
            <w:tcW w:w="1337" w:type="dxa"/>
            <w:shd w:val="clear" w:color="auto" w:fill="F2F2F2"/>
          </w:tcPr>
          <w:p>
            <w:pPr/>
            <w:r>
              <w:t xml:space="preserve">Área</w:t>
            </w:r>
          </w:p>
        </w:tc>
        <w:tc>
          <w:tcPr>
            <w:tcW w:w="1337" w:type="dxa"/>
            <w:shd w:val="clear" w:color="auto" w:fill="F2F2F2"/>
          </w:tcPr>
          <w:p>
            <w:pPr/>
            <w:r>
              <w:t xml:space="preserve">Rol / grupo</w:t>
            </w:r>
          </w:p>
        </w:tc>
        <w:tc>
          <w:tcPr>
            <w:tcW w:w="1337" w:type="dxa"/>
            <w:shd w:val="clear" w:color="auto" w:fill="F2F2F2"/>
          </w:tcPr>
          <w:p>
            <w:pPr/>
            <w:r>
              <w:t xml:space="preserve">Permisos</w:t>
            </w:r>
          </w:p>
        </w:tc>
        <w:tc>
          <w:tcPr>
            <w:tcW w:w="1337" w:type="dxa"/>
            <w:shd w:val="clear" w:color="auto" w:fill="F2F2F2"/>
          </w:tcPr>
          <w:p>
            <w:pPr/>
            <w:r>
              <w:t xml:space="preserve">Estado</w:t>
            </w:r>
          </w:p>
        </w:tc>
      </w:tr>
      <w:tr>
        <w:tc>
          <w:tcPr>
            <w:tcW w:w="1337" w:type="dxa"/>
          </w:tcPr>
          <w:p>
            <w:pPr/>
            <w:r>
              <w:t xml:space="preserve">192.168.2.4</w:t>
            </w:r>
          </w:p>
        </w:tc>
        <w:tc>
          <w:tcPr>
            <w:tcW w:w="1337" w:type="dxa"/>
          </w:tcPr>
          <w:p>
            <w:pPr/>
            <w:r>
              <w:t xml:space="preserve">[Completar: </w:t>
            </w:r>
            <w:r>
              <w:rPr>
                <w:rStyle w:val="CodeChar"/>
              </w:rPr>
              <w:t xml:space="preserve">Get-LocalUser</w:t>
            </w:r>
            <w:r>
              <w:t xml:space="preserve"> / dominio]</w:t>
            </w:r>
          </w:p>
        </w:tc>
        <w:tc>
          <w:tcPr>
            <w:tcW w:w="1337" w:type="dxa"/>
          </w:tcPr>
          <w:p>
            <w:pPr/>
            <w:r>
              <w:t xml:space="preserve">[Completar]</w:t>
            </w:r>
          </w:p>
        </w:tc>
        <w:tc>
          <w:tcPr>
            <w:tcW w:w="1337" w:type="dxa"/>
          </w:tcPr>
          <w:p>
            <w:pPr/>
            <w:r>
              <w:t xml:space="preserve">[Completar]</w:t>
            </w:r>
          </w:p>
        </w:tc>
        <w:tc>
          <w:tcPr>
            <w:tcW w:w="1337" w:type="dxa"/>
          </w:tcPr>
          <w:p>
            <w:pPr/>
            <w:r>
              <w:t xml:space="preserve">[Completar: Administradores, Usuarios de escritorio remoto]</w:t>
            </w:r>
          </w:p>
        </w:tc>
        <w:tc>
          <w:tcPr>
            <w:tcW w:w="1337" w:type="dxa"/>
          </w:tcPr>
          <w:p>
            <w:pPr/>
            <w:r>
              <w:t xml:space="preserve">[Completar]</w:t>
            </w:r>
          </w:p>
        </w:tc>
        <w:tc>
          <w:tcPr>
            <w:tcW w:w="1337" w:type="dxa"/>
          </w:tcPr>
          <w:p>
            <w:pPr/>
            <w:r>
              <w:t xml:space="preserve">[Completar]</w:t>
            </w:r>
          </w:p>
        </w:tc>
      </w:tr>
      <w:tr>
        <w:tc>
          <w:tcPr>
            <w:tcW w:w="1337" w:type="dxa"/>
          </w:tcPr>
          <w:p>
            <w:pPr/>
            <w:r>
              <w:t xml:space="preserve">192.168.2.3 </w:t>
            </w:r>
            <w:r>
              <w:rPr>
                <w:rStyle w:val="CodeChar"/>
              </w:rPr>
              <w:t xml:space="preserve">SRVDEV1</w:t>
            </w:r>
          </w:p>
        </w:tc>
        <w:tc>
          <w:tcPr>
            <w:tcW w:w="1337" w:type="dxa"/>
          </w:tcPr>
          <w:p>
            <w:pPr/>
            <w:r>
              <w:t xml:space="preserve">[Completar]</w:t>
            </w:r>
          </w:p>
        </w:tc>
        <w:tc>
          <w:tcPr>
            <w:tcW w:w="1337" w:type="dxa"/>
          </w:tcPr>
          <w:p>
            <w:pPr/>
            <w:r>
              <w:t xml:space="preserve">[Completar]</w:t>
            </w:r>
          </w:p>
        </w:tc>
        <w:tc>
          <w:tcPr>
            <w:tcW w:w="1337" w:type="dxa"/>
          </w:tcPr>
          <w:p>
            <w:pPr/>
            <w:r>
              <w:t xml:space="preserve">[Completar]</w:t>
            </w:r>
          </w:p>
        </w:tc>
        <w:tc>
          <w:tcPr>
            <w:tcW w:w="1337" w:type="dxa"/>
          </w:tcPr>
          <w:p>
            <w:pPr/>
            <w:r>
              <w:t xml:space="preserve">[Completar]</w:t>
            </w:r>
          </w:p>
        </w:tc>
        <w:tc>
          <w:tcPr>
            <w:tcW w:w="1337" w:type="dxa"/>
          </w:tcPr>
          <w:p>
            <w:pPr/>
            <w:r>
              <w:t xml:space="preserve">[Completar]</w:t>
            </w:r>
          </w:p>
        </w:tc>
        <w:tc>
          <w:tcPr>
            <w:tcW w:w="1337" w:type="dxa"/>
          </w:tcPr>
          <w:p>
            <w:pPr/>
            <w:r>
              <w:t xml:space="preserve">[Completar]</w:t>
            </w:r>
          </w:p>
        </w:tc>
      </w:tr>
    </w:tbl>
    <w:p>
      <w:pPr/>
      <w:r>
        <w:t xml:space="preserve">El proveedor accede a los servidores por escritorio remoto para desplegar y dar soporte. [Completar: con qué cuenta, si es nominal o compartida y cómo se autoriza cada acceso.]</w:t>
      </w:r>
    </w:p>
    <w:p>
      <w:pPr>
        <w:pStyle w:val="Heading3"/>
      </w:pPr>
      <w:r>
        <w:t xml:space="preserve">5.3. Aplicación SAA</w:t>
      </w:r>
    </w:p>
    <w:p>
      <w:pPr/>
      <w:r>
        <w:rPr>
          <w:b/>
        </w:rPr>
        <w:t xml:space="preserve">Cómo está configurado el acceso, según el código:</w:t>
      </w:r>
    </w:p>
    <w:tbl>
      <w:tblPr>
        <w:tblStyle w:val="TableGrid"/>
        <w:tblW w:w="0" w:type="auto"/>
        <w:tblLayout w:type="fixed"/>
        <w:tblLook w:val="04A0" w:firstRow="1" w:lastRow="0" w:firstColumn="0" w:lastColumn="0" w:noHBand="0" w:noVBand="1"/>
      </w:tblPr>
      <w:tblGrid>
        <w:gridCol w:w="3106"/>
        <w:gridCol w:w="2432"/>
        <w:gridCol w:w="3822"/>
      </w:tblGrid>
      <w:tr>
        <w:trPr>
          <w:tblHeader/>
        </w:trPr>
        <w:tc>
          <w:tcPr>
            <w:tcW w:w="3106" w:type="dxa"/>
            <w:shd w:val="clear" w:color="auto" w:fill="F2F2F2"/>
          </w:tcPr>
          <w:p>
            <w:pPr/>
            <w:r>
              <w:t xml:space="preserve">Elemento</w:t>
            </w:r>
          </w:p>
        </w:tc>
        <w:tc>
          <w:tcPr>
            <w:tcW w:w="2432" w:type="dxa"/>
            <w:shd w:val="clear" w:color="auto" w:fill="F2F2F2"/>
          </w:tcPr>
          <w:p>
            <w:pPr/>
            <w:r>
              <w:t xml:space="preserve">Dónde está</w:t>
            </w:r>
          </w:p>
        </w:tc>
        <w:tc>
          <w:tcPr>
            <w:tcW w:w="3822" w:type="dxa"/>
            <w:shd w:val="clear" w:color="auto" w:fill="F2F2F2"/>
          </w:tcPr>
          <w:p>
            <w:pPr/>
            <w:r>
              <w:t xml:space="preserve">Situación a la fecha de corte</w:t>
            </w:r>
          </w:p>
        </w:tc>
      </w:tr>
      <w:tr>
        <w:tc>
          <w:tcPr>
            <w:tcW w:w="3106" w:type="dxa"/>
          </w:tcPr>
          <w:p>
            <w:pPr/>
            <w:r>
              <w:t xml:space="preserve">Usuario</w:t>
            </w:r>
          </w:p>
        </w:tc>
        <w:tc>
          <w:tcPr>
            <w:tcW w:w="2432" w:type="dxa"/>
          </w:tcPr>
          <w:p>
            <w:pPr/>
            <w:r>
              <w:rPr>
                <w:rStyle w:val="CodeChar"/>
              </w:rPr>
              <w:t xml:space="preserve">SCP.PJRQ</w:t>
            </w:r>
            <w:r>
              <w:t xml:space="preserve">, nodos de jerarquía tipo usuario</w:t>
            </w:r>
          </w:p>
        </w:tc>
        <w:tc>
          <w:tcPr>
            <w:tcW w:w="3822" w:type="dxa"/>
          </w:tcPr>
          <w:p>
            <w:pPr/>
            <w:r>
              <w:t xml:space="preserve">Guarda el nombre de inicio de sesión y la empresa. Nombres y apellidos y área no están en esta tabla: se completan desde RRHH o desde las características del usuario (</w:t>
            </w:r>
            <w:r>
              <w:rPr>
                <w:rStyle w:val="CodeChar"/>
              </w:rPr>
              <w:t xml:space="preserve">SCP.PDCN</w:t>
            </w:r>
            <w:r>
              <w:t xml:space="preserve">)</w:t>
            </w:r>
          </w:p>
        </w:tc>
      </w:tr>
      <w:tr>
        <w:tc>
          <w:tcPr>
            <w:tcW w:w="3106" w:type="dxa"/>
          </w:tcPr>
          <w:p>
            <w:pPr/>
            <w:r>
              <w:t xml:space="preserve">Estado del usuario</w:t>
            </w:r>
          </w:p>
        </w:tc>
        <w:tc>
          <w:tcPr>
            <w:tcW w:w="2432" w:type="dxa"/>
          </w:tcPr>
          <w:p>
            <w:pPr/>
            <w:r>
              <w:rPr>
                <w:rStyle w:val="CodeChar"/>
              </w:rPr>
              <w:t xml:space="preserve">SCP.PDCN</w:t>
            </w:r>
            <w:r>
              <w:t xml:space="preserve">, característica 19</w:t>
            </w:r>
          </w:p>
        </w:tc>
        <w:tc>
          <w:tcPr>
            <w:tcW w:w="3822" w:type="dxa"/>
          </w:tcPr>
          <w:p>
            <w:pPr/>
            <w:r>
              <w:t xml:space="preserve">1 = activo</w:t>
            </w:r>
          </w:p>
        </w:tc>
      </w:tr>
      <w:tr>
        <w:tc>
          <w:tcPr>
            <w:tcW w:w="3106" w:type="dxa"/>
          </w:tcPr>
          <w:p>
            <w:pPr/>
            <w:r>
              <w:t xml:space="preserve">Contraseña</w:t>
            </w:r>
          </w:p>
        </w:tc>
        <w:tc>
          <w:tcPr>
            <w:tcW w:w="2432" w:type="dxa"/>
          </w:tcPr>
          <w:p>
            <w:pPr/>
            <w:r>
              <w:t xml:space="preserve">Procedimientos de base de datos </w:t>
            </w:r>
            <w:r>
              <w:rPr>
                <w:rStyle w:val="CodeChar"/>
              </w:rPr>
              <w:t xml:space="preserve">SCP.PC_PRMT_GNRL</w:t>
            </w:r>
          </w:p>
        </w:tc>
        <w:tc>
          <w:tcPr>
            <w:tcW w:w="3822" w:type="dxa"/>
          </w:tcPr>
          <w:p>
            <w:pPr/>
            <w:r>
              <w:t xml:space="preserve">La valida y la cambia la base de datos. [Completar: algoritmo de almacenamiento, vigencia, bloqueo por intentos, según el paquete]</w:t>
            </w:r>
          </w:p>
        </w:tc>
      </w:tr>
      <w:tr>
        <w:tc>
          <w:tcPr>
            <w:tcW w:w="3106" w:type="dxa"/>
          </w:tcPr>
          <w:p>
            <w:pPr/>
            <w:r>
              <w:t xml:space="preserve">Permisos</w:t>
            </w:r>
          </w:p>
        </w:tc>
        <w:tc>
          <w:tcPr>
            <w:tcW w:w="2432" w:type="dxa"/>
          </w:tcPr>
          <w:p>
            <w:pPr/>
            <w:r>
              <w:t xml:space="preserve">Árbol de </w:t>
            </w:r>
            <w:r>
              <w:rPr>
                <w:b/>
              </w:rPr>
              <w:t xml:space="preserve">305 permisos, uno por pantalla</w:t>
            </w:r>
            <w:r>
              <w:t xml:space="preserve"> (códigos 1253 a 1557), asignados en </w:t>
            </w:r>
            <w:r>
              <w:rPr>
                <w:rStyle w:val="CodeChar"/>
              </w:rPr>
              <w:t xml:space="preserve">SCP.PENP</w:t>
            </w:r>
          </w:p>
        </w:tc>
        <w:tc>
          <w:tcPr>
            <w:tcW w:w="3822" w:type="dxa"/>
          </w:tcPr>
          <w:p>
            <w:pPr/>
            <w:r>
              <w:t xml:space="preserve">Definidos en el sistema. La carga del árbol definitivo en producción y la </w:t>
            </w:r>
            <w:r>
              <w:rPr>
                <w:b/>
              </w:rPr>
              <w:t xml:space="preserve">activación del control</w:t>
            </w:r>
            <w:r>
              <w:t xml:space="preserve"> (parámetro del rubro 7) están pendientes</w:t>
            </w:r>
          </w:p>
        </w:tc>
      </w:tr>
      <w:tr>
        <w:tc>
          <w:tcPr>
            <w:tcW w:w="3106" w:type="dxa"/>
          </w:tcPr>
          <w:p>
            <w:pPr/>
            <w:r>
              <w:t xml:space="preserve">Perfiles</w:t>
            </w:r>
          </w:p>
        </w:tc>
        <w:tc>
          <w:tcPr>
            <w:tcW w:w="2432" w:type="dxa"/>
          </w:tcPr>
          <w:p>
            <w:pPr/>
            <w:r>
              <w:t xml:space="preserve">No hay perfiles como objeto: los permisos se asignan por usuario</w:t>
            </w:r>
          </w:p>
        </w:tc>
        <w:tc>
          <w:tcPr>
            <w:tcW w:w="3822" w:type="dxa"/>
          </w:tcPr>
          <w:p>
            <w:pPr/>
            <w:r>
              <w:t xml:space="preserve">La definición de perfiles por área espera los roles que entregue cada jefatura</w:t>
            </w:r>
          </w:p>
        </w:tc>
      </w:tr>
      <w:tr>
        <w:tc>
          <w:tcPr>
            <w:tcW w:w="3106" w:type="dxa"/>
          </w:tcPr>
          <w:p>
            <w:pPr/>
            <w:r>
              <w:t xml:space="preserve">Roles funcionales</w:t>
            </w:r>
          </w:p>
        </w:tc>
        <w:tc>
          <w:tcPr>
            <w:tcW w:w="2432" w:type="dxa"/>
          </w:tcPr>
          <w:p>
            <w:pPr/>
            <w:r>
              <w:t xml:space="preserve">Aprobadores de pagos (</w:t>
            </w:r>
            <w:r>
              <w:rPr>
                <w:rStyle w:val="CodeChar"/>
              </w:rPr>
              <w:t xml:space="preserve">PGS.UXAP</w:t>
            </w:r>
            <w:r>
              <w:t xml:space="preserve">) y usuarios por caja (</w:t>
            </w:r>
            <w:r>
              <w:rPr>
                <w:rStyle w:val="CodeChar"/>
              </w:rPr>
              <w:t xml:space="preserve">TSR.USXC</w:t>
            </w:r>
            <w:r>
              <w:t xml:space="preserve">)</w:t>
            </w:r>
          </w:p>
        </w:tc>
        <w:tc>
          <w:tcPr>
            <w:tcW w:w="3822" w:type="dxa"/>
          </w:tcPr>
          <w:p>
            <w:pPr/>
            <w:r>
              <w:t xml:space="preserve">Configurados por pantalla en cada módulo</w:t>
            </w:r>
          </w:p>
        </w:tc>
      </w:tr>
      <w:tr>
        <w:tc>
          <w:tcPr>
            <w:tcW w:w="3106" w:type="dxa"/>
          </w:tcPr>
          <w:p>
            <w:pPr/>
            <w:r>
              <w:t xml:space="preserve">Administración de usuarios</w:t>
            </w:r>
          </w:p>
        </w:tc>
        <w:tc>
          <w:tcPr>
            <w:tcW w:w="2432" w:type="dxa"/>
          </w:tcPr>
          <w:p>
            <w:pPr/>
            <w:r>
              <w:t xml:space="preserve">Herramienta heredada «Seguridad y auditoría», fuera del SAA</w:t>
            </w:r>
          </w:p>
        </w:tc>
        <w:tc>
          <w:tcPr>
            <w:tcW w:w="3822" w:type="dxa"/>
          </w:tcPr>
          <w:p>
            <w:pPr/>
            <w:r>
              <w:t xml:space="preserve">El SAA no crea usuarios ni asigna permisos desde sus pantallas</w:t>
            </w:r>
          </w:p>
        </w:tc>
      </w:tr>
    </w:tbl>
    <w:p>
      <w:pPr/>
      <w:r>
        <w:rPr>
          <w:b/>
        </w:rPr>
        <w:t xml:space="preserve">Listado de usuarios de la aplicación</w:t>
      </w:r>
      <w:r>
        <w:t xml:space="preserve"> (con la consulta A.1, cruzada con RRHH para nombres y área):</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449"/>
        <w:gridCol w:w="1225"/>
      </w:tblGrid>
      <w:tr>
        <w:trPr>
          <w:tblHeader/>
        </w:trPr>
        <w:tc>
          <w:tcPr>
            <w:tcW w:w="1337" w:type="dxa"/>
            <w:shd w:val="clear" w:color="auto" w:fill="F2F2F2"/>
          </w:tcPr>
          <w:p>
            <w:pPr/>
            <w:r>
              <w:t xml:space="preserve">Usuario</w:t>
            </w:r>
          </w:p>
        </w:tc>
        <w:tc>
          <w:tcPr>
            <w:tcW w:w="1337" w:type="dxa"/>
            <w:shd w:val="clear" w:color="auto" w:fill="F2F2F2"/>
          </w:tcPr>
          <w:p>
            <w:pPr/>
            <w:r>
              <w:t xml:space="preserve">Nombres y apellidos</w:t>
            </w:r>
          </w:p>
        </w:tc>
        <w:tc>
          <w:tcPr>
            <w:tcW w:w="1337" w:type="dxa"/>
            <w:shd w:val="clear" w:color="auto" w:fill="F2F2F2"/>
          </w:tcPr>
          <w:p>
            <w:pPr/>
            <w:r>
              <w:t xml:space="preserve">Área funcional</w:t>
            </w:r>
          </w:p>
        </w:tc>
        <w:tc>
          <w:tcPr>
            <w:tcW w:w="1337" w:type="dxa"/>
            <w:shd w:val="clear" w:color="auto" w:fill="F2F2F2"/>
          </w:tcPr>
          <w:p>
            <w:pPr/>
            <w:r>
              <w:t xml:space="preserve">Rol</w:t>
            </w:r>
          </w:p>
        </w:tc>
        <w:tc>
          <w:tcPr>
            <w:tcW w:w="1337" w:type="dxa"/>
            <w:shd w:val="clear" w:color="auto" w:fill="F2F2F2"/>
          </w:tcPr>
          <w:p>
            <w:pPr/>
            <w:r>
              <w:t xml:space="preserve">Perfil</w:t>
            </w:r>
          </w:p>
        </w:tc>
        <w:tc>
          <w:tcPr>
            <w:tcW w:w="1449" w:type="dxa"/>
            <w:shd w:val="clear" w:color="auto" w:fill="F2F2F2"/>
          </w:tcPr>
          <w:p>
            <w:pPr/>
            <w:r>
              <w:t xml:space="preserve">Permisos (módulos / pantallas)</w:t>
            </w:r>
          </w:p>
        </w:tc>
        <w:tc>
          <w:tcPr>
            <w:tcW w:w="1225" w:type="dxa"/>
            <w:shd w:val="clear" w:color="auto" w:fill="F2F2F2"/>
          </w:tcPr>
          <w:p>
            <w:pPr/>
            <w:r>
              <w:t xml:space="preserve">Estado</w:t>
            </w:r>
          </w:p>
        </w:tc>
      </w:tr>
      <w:tr>
        <w:tc>
          <w:tcPr>
            <w:tcW w:w="1337" w:type="dxa"/>
          </w:tcPr>
          <w:p>
            <w:pPr/>
            <w:r>
              <w:t xml:space="preserve">[Completar]</w:t>
            </w:r>
          </w:p>
        </w:tc>
        <w:tc>
          <w:tcPr>
            <w:tcW w:w="1337" w:type="dxa"/>
          </w:tcPr>
          <w:p>
            <w:pPr/>
            <w:r>
              <w:t xml:space="preserve">[Completar]</w:t>
            </w:r>
          </w:p>
        </w:tc>
        <w:tc>
          <w:tcPr>
            <w:tcW w:w="1337" w:type="dxa"/>
          </w:tcPr>
          <w:p>
            <w:pPr/>
            <w:r>
              <w:t xml:space="preserve">[Completar]</w:t>
            </w:r>
          </w:p>
        </w:tc>
        <w:tc>
          <w:tcPr>
            <w:tcW w:w="1337" w:type="dxa"/>
          </w:tcPr>
          <w:p>
            <w:pPr/>
            <w:r>
              <w:t xml:space="preserve">[Completar]</w:t>
            </w:r>
          </w:p>
        </w:tc>
        <w:tc>
          <w:tcPr>
            <w:tcW w:w="1337" w:type="dxa"/>
          </w:tcPr>
          <w:p>
            <w:pPr/>
            <w:r>
              <w:t xml:space="preserve">[Completar]</w:t>
            </w:r>
          </w:p>
        </w:tc>
        <w:tc>
          <w:tcPr>
            <w:tcW w:w="1449" w:type="dxa"/>
          </w:tcPr>
          <w:p>
            <w:pPr/>
            <w:r>
              <w:t xml:space="preserve">[Consulta A.2]</w:t>
            </w:r>
          </w:p>
        </w:tc>
        <w:tc>
          <w:tcPr>
            <w:tcW w:w="1225" w:type="dxa"/>
          </w:tcPr>
          <w:p>
            <w:pPr/>
            <w:r>
              <w:t xml:space="preserve">[Consulta A.1]</w:t>
            </w:r>
          </w:p>
        </w:tc>
      </w:tr>
    </w:tbl>
    <w:p>
      <w:pPr>
        <w:pStyle w:val="Heading3"/>
      </w:pPr>
      <w:r>
        <w:t xml:space="preserve">5.4. Aplicación móvil</w:t>
      </w:r>
    </w:p>
    <w:p>
      <w:pPr/>
      <w:r>
        <w:t xml:space="preserve">Los usuarios de la app son los partícipes, en </w:t>
      </w:r>
      <w:r>
        <w:rPr>
          <w:rStyle w:val="CodeChar"/>
        </w:rPr>
        <w:t xml:space="preserve">CRD.USAP</w:t>
      </w:r>
      <w:r>
        <w:t xml:space="preserve">, enlazados a su ficha en </w:t>
      </w:r>
      <w:r>
        <w:rPr>
          <w:rStyle w:val="CodeChar"/>
        </w:rPr>
        <w:t xml:space="preserve">CRD.ENTD</w:t>
      </w:r>
      <w:r>
        <w:t xml:space="preserve">. El inicio de sesión es con la cédula. La clave se guarda con hash PBKDF2-HMAC-SHA256 (100.000 iteraciones y sal). Tras 5 intentos fallidos la cuenta se bloquea 15 minutos, y la clave exige al menos 8 caracteres con letras y números. Los estados son 1 activo, 2 bloqueado y 3 eliminado. Las cuentas las crea, resetea y reactiva el personal de Créditos desde la pantalla de acceso a la app. El listado sale de la consulta A.3, sin datos de clave.</w:t>
      </w:r>
    </w:p>
    <w:p>
      <w:pPr>
        <w:pStyle w:val="Heading3"/>
      </w:pPr>
      <w:r>
        <w:t xml:space="preserve">5.5. Pistas de auditoría</w:t>
      </w:r>
    </w:p>
    <w:tbl>
      <w:tblPr>
        <w:tblStyle w:val="TableGrid"/>
        <w:tblW w:w="0" w:type="auto"/>
        <w:tblLayout w:type="fixed"/>
        <w:tblLook w:val="04A0" w:firstRow="1" w:lastRow="0" w:firstColumn="0" w:lastColumn="0" w:noHBand="0" w:noVBand="1"/>
      </w:tblPr>
      <w:tblGrid>
        <w:gridCol w:w="4920"/>
        <w:gridCol w:w="1720"/>
        <w:gridCol w:w="2720"/>
      </w:tblGrid>
      <w:tr>
        <w:trPr>
          <w:tblHeader/>
        </w:trPr>
        <w:tc>
          <w:tcPr>
            <w:tcW w:w="4920" w:type="dxa"/>
            <w:shd w:val="clear" w:color="auto" w:fill="F2F2F2"/>
          </w:tcPr>
          <w:p>
            <w:pPr/>
            <w:r>
              <w:t xml:space="preserve">Qué se registra</w:t>
            </w:r>
          </w:p>
        </w:tc>
        <w:tc>
          <w:tcPr>
            <w:tcW w:w="1720" w:type="dxa"/>
            <w:shd w:val="clear" w:color="auto" w:fill="F2F2F2"/>
          </w:tcPr>
          <w:p>
            <w:pPr/>
            <w:r>
              <w:t xml:space="preserve">Dónde</w:t>
            </w:r>
          </w:p>
        </w:tc>
        <w:tc>
          <w:tcPr>
            <w:tcW w:w="2720" w:type="dxa"/>
            <w:shd w:val="clear" w:color="auto" w:fill="F2F2F2"/>
          </w:tcPr>
          <w:p>
            <w:pPr/>
            <w:r>
              <w:t xml:space="preserve">Alcance</w:t>
            </w:r>
          </w:p>
        </w:tc>
      </w:tr>
      <w:tr>
        <w:tc>
          <w:tcPr>
            <w:tcW w:w="4920" w:type="dxa"/>
          </w:tcPr>
          <w:p>
            <w:pPr/>
            <w:r>
              <w:t xml:space="preserve">Cambios de estado de partícipes y cuotas, con valor anterior y nuevo, usuario y fecha</w:t>
            </w:r>
          </w:p>
        </w:tc>
        <w:tc>
          <w:tcPr>
            <w:tcW w:w="1720" w:type="dxa"/>
          </w:tcPr>
          <w:p>
            <w:pPr/>
            <w:r>
              <w:rPr>
                <w:rStyle w:val="CodeChar"/>
              </w:rPr>
              <w:t xml:space="preserve">CRD.ADTR</w:t>
            </w:r>
          </w:p>
        </w:tc>
        <w:tc>
          <w:tcPr>
            <w:tcW w:w="2720" w:type="dxa"/>
          </w:tcPr>
          <w:p>
            <w:pPr/>
            <w:r>
              <w:t xml:space="preserve">Módulo de Créditos</w:t>
            </w:r>
          </w:p>
        </w:tc>
      </w:tr>
      <w:tr>
        <w:tc>
          <w:tcPr>
            <w:tcW w:w="4920" w:type="dxa"/>
          </w:tcPr>
          <w:p>
            <w:pPr/>
            <w:r>
              <w:t xml:space="preserve">Usuario y fecha de registro en el propio documento</w:t>
            </w:r>
          </w:p>
        </w:tc>
        <w:tc>
          <w:tcPr>
            <w:tcW w:w="1720" w:type="dxa"/>
          </w:tcPr>
          <w:p>
            <w:pPr/>
            <w:r>
              <w:t xml:space="preserve">Columnas de registro de cada tabla</w:t>
            </w:r>
          </w:p>
        </w:tc>
        <w:tc>
          <w:tcPr>
            <w:tcW w:w="2720" w:type="dxa"/>
          </w:tcPr>
          <w:p>
            <w:pPr/>
            <w:r>
              <w:t xml:space="preserve">Total en RRHH y en buena parte de Créditos; parcial en los demás módulos</w:t>
            </w:r>
          </w:p>
        </w:tc>
      </w:tr>
      <w:tr>
        <w:tc>
          <w:tcPr>
            <w:tcW w:w="4920" w:type="dxa"/>
          </w:tcPr>
          <w:p>
            <w:pPr/>
            <w:r>
              <w:t xml:space="preserve">Historial de cambios de usuarios y jerarquía [Confirmar qué proceso lo alimenta]</w:t>
            </w:r>
          </w:p>
        </w:tc>
        <w:tc>
          <w:tcPr>
            <w:tcW w:w="1720" w:type="dxa"/>
          </w:tcPr>
          <w:p>
            <w:pPr/>
            <w:r>
              <w:rPr>
                <w:rStyle w:val="CodeChar"/>
              </w:rPr>
              <w:t xml:space="preserve">SCP.HTE_PJRQ</w:t>
            </w:r>
          </w:p>
        </w:tc>
        <w:tc>
          <w:tcPr>
            <w:tcW w:w="2720" w:type="dxa"/>
          </w:tcPr>
          <w:p>
            <w:pPr/>
            <w:r>
              <w:t xml:space="preserve">Núcleo</w:t>
            </w:r>
          </w:p>
        </w:tc>
      </w:tr>
      <w:tr>
        <w:tc>
          <w:tcPr>
            <w:tcW w:w="4920" w:type="dxa"/>
          </w:tcPr>
          <w:p>
            <w:pPr/>
            <w:r>
              <w:t xml:space="preserve">Asientos contables con usuario, fecha y estado; la anulación guarda motivo, fecha y usuario, y el reverso enlaza el asiento original</w:t>
            </w:r>
          </w:p>
        </w:tc>
        <w:tc>
          <w:tcPr>
            <w:tcW w:w="1720" w:type="dxa"/>
          </w:tcPr>
          <w:p>
            <w:pPr/>
            <w:r>
              <w:rPr>
                <w:rStyle w:val="CodeChar"/>
              </w:rPr>
              <w:t xml:space="preserve">CNT.ASNT</w:t>
            </w:r>
          </w:p>
        </w:tc>
        <w:tc>
          <w:tcPr>
            <w:tcW w:w="2720" w:type="dxa"/>
          </w:tcPr>
          <w:p>
            <w:pPr/>
            <w:r>
              <w:t xml:space="preserve">Contabilidad</w:t>
            </w:r>
          </w:p>
        </w:tc>
      </w:tr>
    </w:tbl>
    <w:p>
      <w:pPr>
        <w:pStyle w:val="Heading3"/>
      </w:pPr>
      <w:r>
        <w:t xml:space="preserve">5.6. Brechas de control a la fecha de corte</w:t>
      </w:r>
    </w:p>
    <w:p>
      <w:pPr/>
      <w:r>
        <w:t xml:space="preserve">Se declaran para que la auditoría las encuentre con su plan, no por su cuenta. Cada una debe llevar fecha y responsable.</w:t>
      </w:r>
    </w:p>
    <w:tbl>
      <w:tblPr>
        <w:tblStyle w:val="TableGrid"/>
        <w:tblW w:w="0" w:type="auto"/>
        <w:tblLayout w:type="fixed"/>
        <w:tblLook w:val="04A0" w:firstRow="1" w:lastRow="0" w:firstColumn="0" w:lastColumn="0" w:noHBand="0" w:noVBand="1"/>
      </w:tblPr>
      <w:tblGrid>
        <w:gridCol w:w="3545"/>
        <w:gridCol w:w="2803"/>
        <w:gridCol w:w="1542"/>
        <w:gridCol w:w="1470"/>
      </w:tblGrid>
      <w:tr>
        <w:trPr>
          <w:tblHeader/>
        </w:trPr>
        <w:tc>
          <w:tcPr>
            <w:tcW w:w="3545" w:type="dxa"/>
            <w:shd w:val="clear" w:color="auto" w:fill="F2F2F2"/>
          </w:tcPr>
          <w:p>
            <w:pPr/>
            <w:r>
              <w:t xml:space="preserve">Brecha</w:t>
            </w:r>
          </w:p>
        </w:tc>
        <w:tc>
          <w:tcPr>
            <w:tcW w:w="2803" w:type="dxa"/>
            <w:shd w:val="clear" w:color="auto" w:fill="F2F2F2"/>
          </w:tcPr>
          <w:p>
            <w:pPr/>
            <w:r>
              <w:t xml:space="preserve">Plan</w:t>
            </w:r>
          </w:p>
        </w:tc>
        <w:tc>
          <w:tcPr>
            <w:tcW w:w="1542" w:type="dxa"/>
            <w:shd w:val="clear" w:color="auto" w:fill="F2F2F2"/>
          </w:tcPr>
          <w:p>
            <w:pPr/>
            <w:r>
              <w:t xml:space="preserve">Responsable</w:t>
            </w:r>
          </w:p>
        </w:tc>
        <w:tc>
          <w:tcPr>
            <w:tcW w:w="1470" w:type="dxa"/>
            <w:shd w:val="clear" w:color="auto" w:fill="F2F2F2"/>
          </w:tcPr>
          <w:p>
            <w:pPr/>
            <w:r>
              <w:t xml:space="preserve">Fecha</w:t>
            </w:r>
          </w:p>
        </w:tc>
      </w:tr>
      <w:tr>
        <w:tc>
          <w:tcPr>
            <w:tcW w:w="3545" w:type="dxa"/>
          </w:tcPr>
          <w:p>
            <w:pPr/>
            <w:r>
              <w:t xml:space="preserve">El control de permisos por pantalla está implementado pero desactivado, y no hay perfiles por área</w:t>
            </w:r>
          </w:p>
        </w:tc>
        <w:tc>
          <w:tcPr>
            <w:tcW w:w="2803" w:type="dxa"/>
          </w:tcPr>
          <w:p>
            <w:pPr/>
            <w:r>
              <w:t xml:space="preserve">Cargar el árbol definitivo, definir perfiles con cada jefatura y activar el control</w:t>
            </w:r>
          </w:p>
        </w:tc>
        <w:tc>
          <w:tcPr>
            <w:tcW w:w="1542" w:type="dxa"/>
          </w:tcPr>
          <w:p>
            <w:pPr/>
            <w:r>
              <w:t xml:space="preserve">[Completar]</w:t>
            </w:r>
          </w:p>
        </w:tc>
        <w:tc>
          <w:tcPr>
            <w:tcW w:w="1470" w:type="dxa"/>
          </w:tcPr>
          <w:p>
            <w:pPr/>
            <w:r>
              <w:t xml:space="preserve">[Completar]</w:t>
            </w:r>
          </w:p>
        </w:tc>
      </w:tr>
      <w:tr>
        <w:tc>
          <w:tcPr>
            <w:tcW w:w="3545" w:type="dxa"/>
          </w:tcPr>
          <w:p>
            <w:pPr/>
            <w:r>
              <w:t xml:space="preserve">El backend confía en que solo se llega desde la red interna: no revalida la sesión del usuario en cada operación</w:t>
            </w:r>
          </w:p>
        </w:tc>
        <w:tc>
          <w:tcPr>
            <w:tcW w:w="2803" w:type="dxa"/>
          </w:tcPr>
          <w:p>
            <w:pPr/>
            <w:r>
              <w:t xml:space="preserve">Sesión firmada emitida en el inicio de sesión y validada en cada servicio</w:t>
            </w:r>
          </w:p>
        </w:tc>
        <w:tc>
          <w:tcPr>
            <w:tcW w:w="1542" w:type="dxa"/>
          </w:tcPr>
          <w:p>
            <w:pPr/>
            <w:r>
              <w:t xml:space="preserve">[Completar]</w:t>
            </w:r>
          </w:p>
        </w:tc>
        <w:tc>
          <w:tcPr>
            <w:tcW w:w="1470" w:type="dxa"/>
          </w:tcPr>
          <w:p>
            <w:pPr/>
            <w:r>
              <w:t xml:space="preserve">[Completar]</w:t>
            </w:r>
          </w:p>
        </w:tc>
      </w:tr>
      <w:tr>
        <w:tc>
          <w:tcPr>
            <w:tcW w:w="3545" w:type="dxa"/>
          </w:tcPr>
          <w:p>
            <w:pPr/>
            <w:r>
              <w:t xml:space="preserve">La bitácora de auditoría cubre solo Créditos y se arma en el navegador</w:t>
            </w:r>
          </w:p>
        </w:tc>
        <w:tc>
          <w:tcPr>
            <w:tcW w:w="2803" w:type="dxa"/>
          </w:tcPr>
          <w:p>
            <w:pPr/>
            <w:r>
              <w:t xml:space="preserve">Bitácora escrita por el servidor, con el usuario de la sesión, para todos los módulos</w:t>
            </w:r>
          </w:p>
        </w:tc>
        <w:tc>
          <w:tcPr>
            <w:tcW w:w="1542" w:type="dxa"/>
          </w:tcPr>
          <w:p>
            <w:pPr/>
            <w:r>
              <w:t xml:space="preserve">[Completar]</w:t>
            </w:r>
          </w:p>
        </w:tc>
        <w:tc>
          <w:tcPr>
            <w:tcW w:w="1470" w:type="dxa"/>
          </w:tcPr>
          <w:p>
            <w:pPr/>
            <w:r>
              <w:t xml:space="preserve">[Completar]</w:t>
            </w:r>
          </w:p>
        </w:tc>
      </w:tr>
      <w:tr>
        <w:tc>
          <w:tcPr>
            <w:tcW w:w="3545" w:type="dxa"/>
          </w:tcPr>
          <w:p>
            <w:pPr/>
            <w:r>
              <w:t xml:space="preserve">No hay un procedimiento de respaldo de producción documentado ni pruebas de restauración</w:t>
            </w:r>
          </w:p>
        </w:tc>
        <w:tc>
          <w:tcPr>
            <w:tcW w:w="2803" w:type="dxa"/>
          </w:tcPr>
          <w:p>
            <w:pPr/>
            <w:r>
              <w:t xml:space="preserve">Procedimiento de respaldo (fase 2 del cronograma de TI)</w:t>
            </w:r>
          </w:p>
        </w:tc>
        <w:tc>
          <w:tcPr>
            <w:tcW w:w="1542" w:type="dxa"/>
          </w:tcPr>
          <w:p>
            <w:pPr/>
            <w:r>
              <w:t xml:space="preserve">[Completar]</w:t>
            </w:r>
          </w:p>
        </w:tc>
        <w:tc>
          <w:tcPr>
            <w:tcW w:w="1470" w:type="dxa"/>
          </w:tcPr>
          <w:p>
            <w:pPr/>
            <w:r>
              <w:t xml:space="preserve">[Completar]</w:t>
            </w:r>
          </w:p>
        </w:tc>
      </w:tr>
      <w:tr>
        <w:tc>
          <w:tcPr>
            <w:tcW w:w="3545" w:type="dxa"/>
          </w:tcPr>
          <w:p>
            <w:pPr/>
            <w:r>
              <w:t xml:space="preserve">La base corre en Docker Desktop dentro de una sesión de Windows, con Oracle Free (límite de 12 GB)</w:t>
            </w:r>
          </w:p>
        </w:tc>
        <w:tc>
          <w:tcPr>
            <w:tcW w:w="2803" w:type="dxa"/>
          </w:tcPr>
          <w:p>
            <w:pPr/>
            <w:r>
              <w:t xml:space="preserve">Ejecutar Docker como servicio y evaluar la edición de Oracle por crecimiento</w:t>
            </w:r>
          </w:p>
        </w:tc>
        <w:tc>
          <w:tcPr>
            <w:tcW w:w="1542" w:type="dxa"/>
          </w:tcPr>
          <w:p>
            <w:pPr/>
            <w:r>
              <w:t xml:space="preserve">[Completar]</w:t>
            </w:r>
          </w:p>
        </w:tc>
        <w:tc>
          <w:tcPr>
            <w:tcW w:w="1470" w:type="dxa"/>
          </w:tcPr>
          <w:p>
            <w:pPr/>
            <w:r>
              <w:t xml:space="preserve">[Completar]</w:t>
            </w:r>
          </w:p>
        </w:tc>
      </w:tr>
    </w:tbl>
    <w:p>
      <w:pPr>
        <w:pStyle w:val="Heading2"/>
      </w:pPr>
      <w:r>
        <w:t xml:space="preserve">Anexo. Cómo completar los datos marcados</w:t>
      </w:r>
    </w:p>
    <w:p>
      <w:pPr/>
      <w:r>
        <w:t xml:space="preserve">Todas las consultas son de </w:t>
      </w:r>
      <w:r>
        <w:rPr>
          <w:b/>
        </w:rPr>
        <w:t xml:space="preserve">solo lectura</w:t>
      </w:r>
      <w:r>
        <w:t xml:space="preserve">. Las corre el administrador de base de datos sobre producción (PDB </w:t>
      </w:r>
      <w:r>
        <w:rPr>
          <w:rStyle w:val="CodeChar"/>
        </w:rPr>
        <w:t xml:space="preserve">FREEPDB1</w:t>
      </w:r>
      <w:r>
        <w:t xml:space="preserve">) y los resultados se adjuntan exportados con su fecha de corte. Ningún listado debe incluir contraseñas ni hashes.</w:t>
      </w:r>
    </w:p>
    <w:tbl>
      <w:tblPr>
        <w:tblStyle w:val="TableGrid"/>
        <w:tblW w:w="0" w:type="auto"/>
        <w:tblLayout w:type="fixed"/>
        <w:tblLook w:val="04A0" w:firstRow="1" w:lastRow="0" w:firstColumn="0" w:lastColumn="0" w:noHBand="0" w:noVBand="1"/>
      </w:tblPr>
      <w:tblGrid>
        <w:gridCol w:w="2856"/>
        <w:gridCol w:w="3444"/>
        <w:gridCol w:w="3059"/>
      </w:tblGrid>
      <w:tr>
        <w:trPr>
          <w:tblHeader/>
        </w:trPr>
        <w:tc>
          <w:tcPr>
            <w:tcW w:w="2856" w:type="dxa"/>
            <w:shd w:val="clear" w:color="auto" w:fill="F2F2F2"/>
          </w:tcPr>
          <w:p>
            <w:pPr/>
            <w:r>
              <w:t xml:space="preserve">Dato</w:t>
            </w:r>
          </w:p>
        </w:tc>
        <w:tc>
          <w:tcPr>
            <w:tcW w:w="3444" w:type="dxa"/>
            <w:shd w:val="clear" w:color="auto" w:fill="F2F2F2"/>
          </w:tcPr>
          <w:p>
            <w:pPr/>
            <w:r>
              <w:t xml:space="preserve">Dónde se obtiene</w:t>
            </w:r>
          </w:p>
        </w:tc>
        <w:tc>
          <w:tcPr>
            <w:tcW w:w="3059" w:type="dxa"/>
            <w:shd w:val="clear" w:color="auto" w:fill="F2F2F2"/>
          </w:tcPr>
          <w:p>
            <w:pPr/>
            <w:r>
              <w:t xml:space="preserve">Quién</w:t>
            </w:r>
          </w:p>
        </w:tc>
      </w:tr>
      <w:tr>
        <w:tc>
          <w:tcPr>
            <w:tcW w:w="2856" w:type="dxa"/>
          </w:tcPr>
          <w:p>
            <w:pPr/>
            <w:r>
              <w:t xml:space="preserve">Marca, modelo, serie, CPU, memoria, discos y RAID</w:t>
            </w:r>
          </w:p>
        </w:tc>
        <w:tc>
          <w:tcPr>
            <w:tcW w:w="3444" w:type="dxa"/>
          </w:tcPr>
          <w:p>
            <w:pPr/>
            <w:r>
              <w:t xml:space="preserve">Etiqueta del equipo, iDRAC de Dell y comandos A.5</w:t>
            </w:r>
          </w:p>
        </w:tc>
        <w:tc>
          <w:tcPr>
            <w:tcW w:w="3059" w:type="dxa"/>
          </w:tcPr>
          <w:p>
            <w:pPr/>
            <w:r>
              <w:t xml:space="preserve">Sistemas</w:t>
            </w:r>
          </w:p>
        </w:tc>
      </w:tr>
      <w:tr>
        <w:tc>
          <w:tcPr>
            <w:tcW w:w="2856" w:type="dxa"/>
          </w:tcPr>
          <w:p>
            <w:pPr/>
            <w:r>
              <w:t xml:space="preserve">Garantía y mantenimiento del hardware</w:t>
            </w:r>
          </w:p>
        </w:tc>
        <w:tc>
          <w:tcPr>
            <w:tcW w:w="3444" w:type="dxa"/>
          </w:tcPr>
          <w:p>
            <w:pPr/>
            <w:r>
              <w:t xml:space="preserve">Portal de soporte de Dell con el número de serie; contratos vigentes</w:t>
            </w:r>
          </w:p>
        </w:tc>
        <w:tc>
          <w:tcPr>
            <w:tcW w:w="3059" w:type="dxa"/>
          </w:tcPr>
          <w:p>
            <w:pPr/>
            <w:r>
              <w:t xml:space="preserve">Sistemas / Administrativo</w:t>
            </w:r>
          </w:p>
        </w:tc>
      </w:tr>
      <w:tr>
        <w:tc>
          <w:tcPr>
            <w:tcW w:w="2856" w:type="dxa"/>
          </w:tcPr>
          <w:p>
            <w:pPr/>
            <w:r>
              <w:t xml:space="preserve">Firewall, router, switch, UPS, antivirus</w:t>
            </w:r>
          </w:p>
        </w:tc>
        <w:tc>
          <w:tcPr>
            <w:tcW w:w="3444" w:type="dxa"/>
          </w:tcPr>
          <w:p>
            <w:pPr/>
            <w:r>
              <w:t xml:space="preserve">Inventario físico y contratos del proveedor de internet</w:t>
            </w:r>
          </w:p>
        </w:tc>
        <w:tc>
          <w:tcPr>
            <w:tcW w:w="3059" w:type="dxa"/>
          </w:tcPr>
          <w:p>
            <w:pPr/>
            <w:r>
              <w:t xml:space="preserve">Sistemas</w:t>
            </w:r>
          </w:p>
        </w:tc>
      </w:tr>
      <w:tr>
        <w:tc>
          <w:tcPr>
            <w:tcW w:w="2856" w:type="dxa"/>
          </w:tcPr>
          <w:p>
            <w:pPr/>
            <w:r>
              <w:t xml:space="preserve">Versiones exactas de software base</w:t>
            </w:r>
          </w:p>
        </w:tc>
        <w:tc>
          <w:tcPr>
            <w:tcW w:w="3444" w:type="dxa"/>
          </w:tcPr>
          <w:p>
            <w:pPr/>
            <w:r>
              <w:t xml:space="preserve">Comandos A.5</w:t>
            </w:r>
          </w:p>
        </w:tc>
        <w:tc>
          <w:tcPr>
            <w:tcW w:w="3059" w:type="dxa"/>
          </w:tcPr>
          <w:p>
            <w:pPr/>
            <w:r>
              <w:t xml:space="preserve">Sistemas con el proveedor</w:t>
            </w:r>
          </w:p>
        </w:tc>
      </w:tr>
      <w:tr>
        <w:tc>
          <w:tcPr>
            <w:tcW w:w="2856" w:type="dxa"/>
          </w:tcPr>
          <w:p>
            <w:pPr/>
            <w:r>
              <w:t xml:space="preserve">Nombres, área y cargo de los usuarios</w:t>
            </w:r>
          </w:p>
        </w:tc>
        <w:tc>
          <w:tcPr>
            <w:tcW w:w="3444" w:type="dxa"/>
          </w:tcPr>
          <w:p>
            <w:pPr/>
            <w:r>
              <w:t xml:space="preserve">Consultas A.1 a A.3, cruzadas con la nómina de RRHH</w:t>
            </w:r>
          </w:p>
        </w:tc>
        <w:tc>
          <w:tcPr>
            <w:tcW w:w="3059" w:type="dxa"/>
          </w:tcPr>
          <w:p>
            <w:pPr/>
            <w:r>
              <w:t xml:space="preserve">Sistemas con RRHH</w:t>
            </w:r>
          </w:p>
        </w:tc>
      </w:tr>
    </w:tbl>
    <w:p>
      <w:pPr>
        <w:pStyle w:val="Heading3"/>
      </w:pPr>
      <w:r>
        <w:t xml:space="preserve">A.1. Usuarios de la aplicación SAA</w:t>
      </w:r>
    </w:p>
    <w:p>
      <w:pPr>
        <w:pStyle w:val="Code"/>
      </w:pPr>
      <w:bookmarkStart w:id="1" w:name="bongo_lang_sql_1"/>
      <w:bookmarkEnd w:id="1"/>
      <w:r>
        <w:t xml:space="preserve">SELECT u.PJRQCDGO AS codigo_usuario,</w:t>
        <w:br/>
        <w:t xml:space="preserve">       u.PJRQNMBR AS usuario_login,</w:t>
        <w:br/>
        <w:t xml:space="preserve">       p.PJRQNMBR AS nodo_padre,</w:t>
        <w:br/>
        <w:t xml:space="preserve">       j.PGSPNMBR AS jerarquia,</w:t>
        <w:br/>
        <w:t xml:space="preserve">       CASE (SELECT MAX(d.PDCNVLRR) FROM SCP.PDCN d</w:t>
        <w:br/>
        <w:t xml:space="preserve">              WHERE d.PCXNCDGO = 19 AND d.PJRQCDGO = u.PJRQCDGO)</w:t>
        <w:br/>
        <w:t xml:space="preserve">            WHEN 1 THEN 'ACTIVO' ELSE 'INACTIVO / SIN DATO' END AS estado</w:t>
        <w:br/>
        <w:t xml:space="preserve">  FROM SCP.PJRQ u</w:t>
        <w:br/>
        <w:t xml:space="preserve">  JOIN SCP.PGSP j      ON j.PGSPCDGO = u.PGSPCDGO</w:t>
        <w:br/>
        <w:t xml:space="preserve">  LEFT JOIN SCP.PJRQ p ON p.PJRQCDGO = u.PJRQCDPD</w:t>
        <w:br/>
        <w:t xml:space="preserve"> WHERE u.PGSPCDGO = 9</w:t>
        <w:br/>
        <w:t xml:space="preserve"> ORDER BY u.PJRQNMBR;</w:t>
        <w:br/>
        <w:br/>
        <w:t xml:space="preserve">-- Todas las caracteristicas de cada usuario (nombre completo, area u otras, si estan cargadas)</w:t>
        <w:br/>
        <w:t xml:space="preserve">SELECT d.PJRQCDGO, u.PJRQNMBR, d.PCXNCDGO, d.PDCNVLRR</w:t>
        <w:br/>
        <w:t xml:space="preserve">  FROM SCP.PDCN d JOIN SCP.PJRQ u ON u.PJRQCDGO = d.PJRQCDGO</w:t>
        <w:br/>
        <w:t xml:space="preserve"> WHERE u.PGSPCDGO = 9</w:t>
        <w:br/>
        <w:t xml:space="preserve"> ORDER BY u.PJRQNMBR, d.PCXNCDGO;</w:t>
      </w:r>
    </w:p>
    <w:p>
      <w:pPr>
        <w:pStyle w:val="Heading3"/>
      </w:pPr>
      <w:r>
        <w:t xml:space="preserve">A.2. Permisos asignados</w:t>
      </w:r>
    </w:p>
    <w:p>
      <w:pPr>
        <w:pStyle w:val="Code"/>
      </w:pPr>
      <w:bookmarkStart w:id="2" w:name="bongo_lang_sql_2"/>
      <w:bookmarkEnd w:id="2"/>
      <w:r>
        <w:t xml:space="preserve">-- Estructura de las tablas de asignacion (para leer A.2 correctamente)</w:t>
        <w:br/>
        <w:t xml:space="preserve">SELECT table_name, column_id, column_name, data_type</w:t>
        <w:br/>
        <w:t xml:space="preserve">  FROM all_tab_columns</w:t>
        <w:br/>
        <w:t xml:space="preserve"> WHERE owner = 'SCP' AND table_name IN ('PENP','PDCN','PCXN')</w:t>
        <w:br/>
        <w:t xml:space="preserve"> ORDER BY table_name, column_id;</w:t>
        <w:br/>
        <w:br/>
        <w:t xml:space="preserve">-- Asignaciones de permisos con el nombre del nodo</w:t>
        <w:br/>
        <w:t xml:space="preserve">SELECT pe.*, n.PJRQNMBR AS nodo, n.PGSPCDGO AS tipo_nodo</w:t>
        <w:br/>
        <w:t xml:space="preserve">  FROM SCP.PENP pe</w:t>
        <w:br/>
        <w:t xml:space="preserve">  LEFT JOIN SCP.PJRQ n ON n.PJRQCDGO = pe.PJRQCDGO</w:t>
        <w:br/>
        <w:t xml:space="preserve"> ORDER BY pe.PJRQCDGO;</w:t>
        <w:br/>
        <w:br/>
        <w:t xml:space="preserve">-- Arbol de permisos por pantalla (305 nodos esperados)</w:t>
        <w:br/>
        <w:t xml:space="preserve">SELECT COUNT(*) AS permisos_cargados</w:t>
        <w:br/>
        <w:t xml:space="preserve">  FROM SCP.PJRQ WHERE PGSPCDGO = 11 AND PJRQCDGO BETWEEN 1253 AND 1557;</w:t>
        <w:br/>
        <w:br/>
        <w:t xml:space="preserve">-- Estado del control de permisos (rubro alterno 7, detalle 1)</w:t>
        <w:br/>
        <w:t xml:space="preserve">SELECT r.PRBRDSCR, d.PDTRALTR, d.PDTRDSCR, d.PDTRVLRV, d.PDTRESTD</w:t>
        <w:br/>
        <w:t xml:space="preserve">  FROM SCP.PRBR r JOIN SCP.PDTR d ON d.PRBRCDGO = r.PRBRCDGO</w:t>
        <w:br/>
        <w:t xml:space="preserve"> WHERE r.PRBRALTR = 7 AND d.PDTRALTR = 1;</w:t>
        <w:br/>
        <w:br/>
        <w:t xml:space="preserve">-- Roles funcionales: aprobadores de pagos y usuarios por caja</w:t>
        <w:br/>
        <w:t xml:space="preserve">SELECT 'APROBADOR CXP' AS rol, x.PJRQCDUS AS codigo_usuario, u.PJRQNMBR AS usuario</w:t>
        <w:br/>
        <w:t xml:space="preserve">  FROM PGS.UXAP x JOIN SCP.PJRQ u ON u.PJRQCDGO = x.PJRQCDUS</w:t>
        <w:br/>
        <w:t xml:space="preserve">UNION ALL</w:t>
        <w:br/>
        <w:t xml:space="preserve">SELECT 'USUARIO DE CAJA', c.PJRQCDUS, u.PJRQNMBR</w:t>
        <w:br/>
        <w:t xml:space="preserve">  FROM TSR.USXC c JOIN SCP.PJRQ u ON u.PJRQCDGO = c.PJRQCDUS</w:t>
        <w:br/>
        <w:t xml:space="preserve"> ORDER BY 1, 3;</w:t>
      </w:r>
    </w:p>
    <w:p>
      <w:pPr>
        <w:pStyle w:val="Heading3"/>
      </w:pPr>
      <w:r>
        <w:t xml:space="preserve">A.3. Usuarios de la aplicación móvil</w:t>
      </w:r>
    </w:p>
    <w:p>
      <w:pPr>
        <w:pStyle w:val="Code"/>
      </w:pPr>
      <w:bookmarkStart w:id="3" w:name="bongo_lang_sql_3"/>
      <w:bookmarkEnd w:id="3"/>
      <w:r>
        <w:t xml:space="preserve">SELECT u.USAPIDNT AS identificacion,</w:t>
        <w:br/>
        <w:t xml:space="preserve">       e.ENTDRZNS AS nombre_participe,</w:t>
        <w:br/>
        <w:t xml:space="preserve">       CASE u.USAPESTD WHEN 1 THEN 'ACTIVO' WHEN 2 THEN 'BLOQUEADO'</w:t>
        <w:br/>
        <w:t xml:space="preserve">                       WHEN 3 THEN 'ELIMINADO' ELSE 'DESCONOCIDO' END AS estado,</w:t>
        <w:br/>
        <w:t xml:space="preserve">       u.USAPINTF AS intentos_fallidos,</w:t>
        <w:br/>
        <w:t xml:space="preserve">       u.USAPFCRG AS fecha_creacion,</w:t>
        <w:br/>
        <w:t xml:space="preserve">       u.USAPFCUA AS ultimo_acceso,</w:t>
        <w:br/>
        <w:t xml:space="preserve">       u.USAPUSAR AS registrado_por</w:t>
        <w:br/>
        <w:t xml:space="preserve">  FROM CRD.USAP u</w:t>
        <w:br/>
        <w:t xml:space="preserve">  LEFT JOIN CRD.ENTD e ON e.ENTDCDGO = u.ENTDCDGO</w:t>
        <w:br/>
        <w:t xml:space="preserve"> ORDER BY u.USAPESTD, u.USAPIDNT;</w:t>
      </w:r>
    </w:p>
    <w:p>
      <w:pPr>
        <w:pStyle w:val="Heading3"/>
      </w:pPr>
      <w:r>
        <w:t xml:space="preserve">A.4. Usuarios de base de datos, roles y privilegios</w:t>
      </w:r>
    </w:p>
    <w:p>
      <w:pPr>
        <w:pStyle w:val="Code"/>
      </w:pPr>
      <w:bookmarkStart w:id="4" w:name="bongo_lang_sql_4"/>
      <w:bookmarkEnd w:id="4"/>
      <w:r>
        <w:t xml:space="preserve">SELECT username, account_status, lock_date, expiry_date, profile,</w:t>
        <w:br/>
        <w:t xml:space="preserve">       default_tablespace, created, last_login</w:t>
        <w:br/>
        <w:t xml:space="preserve">  FROM dba_users</w:t>
        <w:br/>
        <w:t xml:space="preserve"> WHERE oracle_maintained = 'N'</w:t>
        <w:br/>
        <w:t xml:space="preserve"> ORDER BY username;</w:t>
        <w:br/>
        <w:br/>
        <w:t xml:space="preserve">SELECT grantee, granted_role, admin_option</w:t>
        <w:br/>
        <w:t xml:space="preserve">  FROM dba_role_privs</w:t>
        <w:br/>
        <w:t xml:space="preserve"> WHERE grantee IN (SELECT username FROM dba_users WHERE oracle_maintained = 'N')</w:t>
        <w:br/>
        <w:t xml:space="preserve"> ORDER BY grantee, granted_role;</w:t>
        <w:br/>
        <w:br/>
        <w:t xml:space="preserve">SELECT grantee, privilege, admin_option</w:t>
        <w:br/>
        <w:t xml:space="preserve">  FROM dba_sys_privs</w:t>
        <w:br/>
        <w:t xml:space="preserve"> WHERE grantee IN (SELECT username FROM dba_users WHERE oracle_maintained = 'N')</w:t>
        <w:br/>
        <w:t xml:space="preserve"> ORDER BY grantee, privilege;</w:t>
        <w:br/>
        <w:br/>
        <w:t xml:space="preserve">-- Permisos del usuario de la aplicacion sobre los otros esquemas</w:t>
        <w:br/>
        <w:t xml:space="preserve">SELECT grantee, owner, privilege, COUNT(*) AS objetos</w:t>
        <w:br/>
        <w:t xml:space="preserve">  FROM dba_tab_privs WHERE grantee = 'SCP'</w:t>
        <w:br/>
        <w:t xml:space="preserve"> GROUP BY grantee, owner, privilege ORDER BY owner, privilege;</w:t>
        <w:br/>
        <w:br/>
        <w:t xml:space="preserve">-- Politica de contrasenas de los perfiles en uso</w:t>
        <w:br/>
        <w:t xml:space="preserve">SELECT profile, resource_name, limit</w:t>
        <w:br/>
        <w:t xml:space="preserve">  FROM dba_profiles</w:t>
        <w:br/>
        <w:t xml:space="preserve"> WHERE resource_type = 'PASSWORD'</w:t>
        <w:br/>
        <w:t xml:space="preserve">   AND profile IN (SELECT DISTINCT profile FROM dba_users WHERE oracle_maintained = 'N')</w:t>
        <w:br/>
        <w:t xml:space="preserve"> ORDER BY profile, resource_name;</w:t>
        <w:br/>
        <w:br/>
        <w:t xml:space="preserve">-- Version exacta de la base</w:t>
        <w:br/>
        <w:t xml:space="preserve">SELECT banner_full FROM v$version;</w:t>
      </w:r>
    </w:p>
    <w:p>
      <w:pPr>
        <w:pStyle w:val="Heading3"/>
      </w:pPr>
      <w:r>
        <w:t xml:space="preserve">A.5. Comandos en cada servidor (PowerShell, solo lectura)</w:t>
      </w:r>
    </w:p>
    <w:p>
      <w:pPr>
        <w:pStyle w:val="Code"/>
      </w:pPr>
      <w:bookmarkStart w:id="5" w:name="bongo_lang_powershell_5"/>
      <w:bookmarkEnd w:id="5"/>
      <w:r>
        <w:t xml:space="preserve"># Hardware y sistema operativo</w:t>
        <w:br/>
        <w:t xml:space="preserve">Get-CimInstance Win32_ComputerSystem | Select Name, Manufacturer, Model, TotalPhysicalMemory</w:t>
        <w:br/>
        <w:t xml:space="preserve">Get-CimInstance Win32_BIOS | Select SerialNumber</w:t>
        <w:br/>
        <w:t xml:space="preserve">Get-CimInstance Win32_Processor | Select Name, NumberOfCores, NumberOfLogicalProcessors</w:t>
        <w:br/>
        <w:t xml:space="preserve">Get-CimInstance Win32_OperatingSystem | Select Caption, Version, BuildNumber</w:t>
        <w:br/>
        <w:t xml:space="preserve">Get-PhysicalDisk | Select FriendlyName, MediaType, Size, HealthStatus</w:t>
        <w:br/>
        <w:br/>
        <w:t xml:space="preserve"># Software base</w:t>
        <w:br/>
        <w:t xml:space="preserve">docker version</w:t>
        <w:br/>
        <w:t xml:space="preserve">docker ps -a --format "{{.Names}} | {{.Image}} | {{.Status}}"</w:t>
        <w:br/>
        <w:t xml:space="preserve">java -version</w:t>
        <w:br/>
        <w:br/>
        <w:t xml:space="preserve"># Usuarios locales y administradores</w:t>
        <w:br/>
        <w:t xml:space="preserve">Get-LocalUser | Select Name, FullName, Enabled, LastLogon, PasswordLastSet</w:t>
        <w:br/>
        <w:t xml:space="preserve">Get-LocalGroupMember Administradores</w:t>
        <w:br/>
        <w:t xml:space="preserve">Get-LocalGroupMember "Usuarios de escritorio remoto"</w:t>
      </w:r>
    </w:p>
    <w:p>
      <w:pPr/>
      <w:r>
        <w:t xml:space="preserve">La versión de WildFly está en la primera línea de su </w:t>
      </w:r>
      <w:r>
        <w:rPr>
          <w:rStyle w:val="CodeChar"/>
        </w:rPr>
        <w:t xml:space="preserve">server.log</w:t>
      </w:r>
      <w:r>
        <w:t xml:space="preserve"> al arrancar. La del frontend está en el </w:t>
      </w:r>
      <w:r>
        <w:rPr>
          <w:rStyle w:val="CodeChar"/>
        </w:rPr>
        <w:t xml:space="preserve">package.json</w:t>
      </w:r>
      <w:r>
        <w:t xml:space="preserve"> del proyecto.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Documentación técnica del sistema SAA — Requerimiento de auditoría</dc:title>
  <dc:description>Claude Docs node/a080dd0b-ee0c@13 docx-w7</dc:description>
  <cp:revision>13</cp:revision>
</cp:coreProperties>
</file>