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4"/>
          <w:szCs w:val="24"/>
        </w:rPr>
        <w:t xml:space="preserve">BLOQUES Y AGREGADOS DE TABASCO, S.A. DE C.V.</w:t>
      </w:r>
    </w:p>
    <w:p>
      <w:pPr>
        <w:spacing w:after="40"/>
        <w:jc w:val="center"/>
      </w:pPr>
      <w:r>
        <w:rPr>
          <w:color w:val="555555"/>
          <w:sz w:val="16"/>
          <w:szCs w:val="16"/>
        </w:rPr>
        <w:t xml:space="preserve">RFC BAT030515JM7  |  Teapa, Tabasco  |  NetSuite cta. 7905968  |  Subsidiaria BATAB (ID 2)</w:t>
      </w:r>
    </w:p>
    <w:p>
      <w:pPr>
        <w:pBdr>
          <w:bottom w:val="single" w:color="1F4E79" w:sz="6" w:space="6"/>
        </w:pBdr>
        <w:spacing w:after="160"/>
        <w:jc w:val="center"/>
      </w:pPr>
    </w:p>
    <w:p>
      <w:pPr>
        <w:pStyle w:val="Heading1"/>
        <w:jc w:val="center"/>
      </w:pPr>
      <w:r>
        <w:t xml:space="preserve">Cédula de Auditoría y Ajuste de Inventario</w:t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Aditivos (Eucolith R y Eucolith DC) — Corrección por error de unidad de captura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Folio cédula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BATAB-AJ-INV-2026-001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25-jun-2026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Periodo afectado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Origen: mayo-2026 / Corrección: junio-2026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Almacén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Almacén Materia Prima (ID 22)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Preparó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Asistente MCP (criterio auditor fiscal-contable)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Revisa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C.P. Jorge A. Pérez Hernández / G. Espadas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rPr>
          <w:sz w:val="20"/>
          <w:szCs w:val="20"/>
        </w:rPr>
        <w:t xml:space="preserve">Documentar el hallazgo, cuantificación y tratamiento contable-fiscal de la diferencia entre el inventario en libros de los aditivos y el conteo físico de planta, conciliando NetSuite y el módulo de control de materias primas.</w:t>
      </w:r>
    </w:p>
    <w:p>
      <w:pPr>
        <w:pStyle w:val="Heading2"/>
      </w:pPr>
      <w:r>
        <w:t xml:space="preserve">2. Hallazgo</w:t>
      </w:r>
    </w:p>
    <w:p>
      <w:pPr>
        <w:spacing w:after="120"/>
      </w:pPr>
      <w:r>
        <w:rPr>
          <w:sz w:val="20"/>
          <w:szCs w:val="20"/>
        </w:rPr>
        <w:t xml:space="preserve">El 3-may-2026 se registraron dos ajustes de recuento físico capturando los litros en el campo de la unidad base del artículo (metro cúbico). </w:t>
      </w:r>
      <w:r>
        <w:rPr>
          <w:b/>
          <w:bCs/>
          <w:sz w:val="20"/>
          <w:szCs w:val="20"/>
        </w:rPr>
        <w:t xml:space="preserve">Esto infló la CANTIDAD de inventario aproximadamente 1,000 veces.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Punto clave: </w:t>
      </w:r>
      <w:r>
        <w:rPr>
          <w:sz w:val="20"/>
          <w:szCs w:val="20"/>
        </w:rPr>
        <w:t xml:space="preserve">ambos asientos se registraron con importe contable de $0.00, por lo que NO afectaron resultados, ISR ni IVA. El error es exclusivamente de cantidad.</w:t>
      </w:r>
    </w:p>
    <w:p>
      <w:pPr>
        <w:pStyle w:val="Heading2"/>
      </w:pPr>
      <w:r>
        <w:t xml:space="preserve">3. Evidencia (NetSuite)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60"/>
        <w:gridCol w:w="1900"/>
        <w:gridCol w:w="17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Cant. base (m³)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IA1824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03-may-2026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Ajuste inv. — Eucolith 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+57.063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IA1825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03-may-2026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Ajuste inv. — Eucolith DC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+2,997.00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IR4944 / F ANT 49408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abr-2026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 real DC (3 m³ = 3,000 L)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+3.000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$72,780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IR4342 / F43719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oct-2025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 real DC (6 m³ = 6,000 L)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+6.000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$138,600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IR5166 / F51689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may-jun 2026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 real R (0.2 m³ = 200 L)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$7,569.50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9"/>
          <w:szCs w:val="19"/>
        </w:rPr>
        <w:t xml:space="preserve">Costo real por litro (CFDI): </w:t>
      </w:r>
      <w:r>
        <w:rPr>
          <w:sz w:val="19"/>
          <w:szCs w:val="19"/>
        </w:rPr>
        <w:t xml:space="preserve">DC ≈ $23.5/L (prom. ponderado $23,100–$24,260/m³);  R ≈ $37.85/L ($37,847.5/m³).</w:t>
      </w:r>
    </w:p>
    <w:p>
      <w:pPr>
        <w:pStyle w:val="Heading2"/>
      </w:pPr>
      <w:r>
        <w:t xml:space="preserve">4. Cuantificación y conciliación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2000"/>
        <w:gridCol w:w="2000"/>
        <w:gridCol w:w="2000"/>
      </w:tblGrid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Aditivo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Físico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a costo real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en libros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Ajuste a costo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Eucolith DC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1,500 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$35,230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$58,967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$23,737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Eucolith 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$7,570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$13,587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$6,017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≈ $42,800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$72,555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≈ $29,754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Naturaleza del ajuste: </w:t>
      </w:r>
      <w:r>
        <w:rPr>
          <w:sz w:val="20"/>
          <w:szCs w:val="20"/>
        </w:rPr>
        <w:t xml:space="preserve">no es una pérdida ni un faltante. Representa el costo de aditivo realmente comprado y consumido en producción que permaneció capitalizado en el activo (el ensamble no descuenta aditivo). Su reconocimiento en costo de lo vendido es procedente y deducible en el ejercicio 2026.</w:t>
      </w:r>
    </w:p>
    <w:p>
      <w:pPr>
        <w:pStyle w:val="Heading2"/>
      </w:pPr>
      <w:r>
        <w:t xml:space="preserve">5. Análisis fiscal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ISR provisional: sin efecto. Los pagos provisionales se determinan por coeficiente de utilidad sobre ingresos nominales, no por el costo real mensual.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ISR anual: neutro/correcto. El error original fue de $0 y la corrección se reconoce dentro del mismo ejercicio; el costo es real y deducible (Art. 25 y 39 LISR — costo de lo vendido).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IVA: sin efecto. El ajuste de inventario no genera CFDI ni traslado/acreditamiento de 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Balance: corrige la sobrevaluación del activo (inventario) antes del cierre anual, requisito de razonabilidad.</w:t>
      </w:r>
    </w:p>
    <w:p>
      <w:pPr>
        <w:pStyle w:val="Heading2"/>
      </w:pPr>
      <w:r>
        <w:t xml:space="preserve">6. Asiento de corrección propuesto (junio-2026)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Cuenta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Cargo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Abono</w:t>
            </w:r>
          </w:p>
        </w:tc>
      </w:tr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500-01-005 Ajustes en recuento físico (Costo de Ventas) [ID 1360]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$29,754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109-01-300 Aditivos (Inventario) [Eucolith DC + R]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$29,754</w:t>
            </w:r>
          </w:p>
        </w:tc>
      </w:tr>
    </w:tbl>
    <w:p>
      <w:pPr>
        <w:spacing w:after="4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9"/>
          <w:szCs w:val="19"/>
        </w:rPr>
        <w:t xml:space="preserve">Parámetros NetSuite: </w:t>
      </w:r>
      <w:r>
        <w:rPr>
          <w:sz w:val="19"/>
          <w:szCs w:val="19"/>
        </w:rPr>
        <w:t xml:space="preserve">Formulario 257 (BAT - Ajuste de Inventario), cuenta 1360, depto 3 (Producción), subsidiaria 2, ubicación 22. Cantidad meta: DC = 1.5 m³ (1,500 L), R = 0.2 m³ (200 L). Capturar costo unitario real para no sub-valuar la existencia remanente.</w:t>
      </w:r>
    </w:p>
    <w:p>
      <w:pPr>
        <w:pStyle w:val="Heading2"/>
      </w:pPr>
      <w:r>
        <w:t xml:space="preserve">7. Observación técnica</w:t>
      </w:r>
    </w:p>
    <w:p>
      <w:pPr>
        <w:spacing w:after="120"/>
      </w:pPr>
      <w:r>
        <w:rPr>
          <w:sz w:val="20"/>
          <w:szCs w:val="20"/>
        </w:rPr>
        <w:t xml:space="preserve">El ajuste de salida no pudo postearse vía API/MCP por la limitación de NetSuite que exige “detalle de inventario por estatus” en disminuciones (los artículos usan la función Estatus de Inventario). Debe registrarse en la interfaz de NetSuite o mediante RESTlet. El ajuste IA2204 (+0.14 m³, Eucolith R) generado en pruebas es inmaterial y queda absorbido en esta corrección.</w:t>
      </w:r>
    </w:p>
    <w:p>
      <w:pPr>
        <w:pStyle w:val="Heading2"/>
      </w:pPr>
      <w:r>
        <w:t xml:space="preserve">8. Conciliación con el módulo (app)</w:t>
      </w:r>
    </w:p>
    <w:p>
      <w:pPr>
        <w:spacing w:after="120"/>
      </w:pPr>
      <w:r>
        <w:rPr>
          <w:sz w:val="20"/>
          <w:szCs w:val="20"/>
        </w:rPr>
        <w:t xml:space="preserve">El módulo de Control de Materias Primas (Supabase) quedó alineado al físico real: Eucolith R = 200 L y Eucolith DC = 1,500 L (este último en 2 totes de 1,000 L; capacidad 2,000 L, nivel 75%). Movimientos de ajuste registrados en bitácora.</w:t>
      </w:r>
    </w:p>
    <w:p>
      <w:pPr>
        <w:pStyle w:val="Heading2"/>
      </w:pPr>
      <w:r>
        <w:t xml:space="preserve">9. Recomendaciones de control (prevención)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Cambiar la unidad base de los artículos de aditivo a LITRO (hoy es m³), para eliminar el riesgo de capturar litros como m³ (factor 1,000×).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Capacitar al personal de almacén: el campo de cantidad en ajustes está en unidad base; verificar etiqueta vs. unidad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Definir el descuento de aditivo en el cierre de lote (ensamble) para que el consumo se relieve a costo de ventas de forma automática y no se acumule en el activo.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Revisión periódica de conciliación físico vs. libros de materias primas (mensual).</w:t>
      </w:r>
    </w:p>
    <w:p>
      <w:pPr>
        <w:spacing w:after="24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</w:tcBorders>
            <w:tcMar>
              <w:top w:type="dxa" w:w="20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Elaboró</w:t>
            </w:r>
          </w:p>
        </w:tc>
        <w:tc>
          <w:tcPr>
            <w:tcW w:type="dxa" w:w="4680"/>
            <w:tcBorders>
              <w:top w:val="single" w:color="BBBBBB" w:sz="1"/>
            </w:tcBorders>
            <w:tcMar>
              <w:top w:type="dxa" w:w="20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Autorizó (Director General / Admin NetSuite)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2026-06-25T20:35:12.810Z</dcterms:created>
  <dcterms:modified xsi:type="dcterms:W3CDTF">2026-06-25T20:35:12.811Z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