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26"/>
          <w:szCs w:val="26"/>
        </w:rPr>
        <w:t xml:space="preserve">BLOQUES Y AGREGADOS DE TABASCO, S.A. DE C.V.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CÉDULA DE AJUSTE DE INVENTARIO — AGREGADOS (MATERIA PRIMA)</w:t>
      </w:r>
    </w:p>
    <w:p>
      <w:pPr>
        <w:spacing w:after="160"/>
        <w:jc w:val="center"/>
      </w:pPr>
      <w:r>
        <w:rPr>
          <w:b/>
          <w:bCs/>
          <w:color w:val="C00000"/>
          <w:sz w:val="20"/>
          <w:szCs w:val="20"/>
        </w:rPr>
        <w:t xml:space="preserve">Folio: BATAB-AJ-INV-2026-002</w:t>
      </w:r>
    </w:p>
    <w:p>
      <w:pPr>
        <w:pBdr>
          <w:bottom w:val="single" w:color="1F4E79" w:sz="6" w:space="1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RFC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BAT030515JM7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Cuenta NetSuite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7905968 · Subsidiaria 2 (BATAB)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Ubicación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Almacén de Materia Prima (ID 22) · Teapa, Tabasco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Fecha del ajuste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 de junio de 2026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Periodo contable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Junio 2026 (abierto)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Elaboró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Gerardo Espadas — Dirección General / Admin NetSuite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Revisión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C.P. Jorge A. Pérez Hernández (Contador Revisor)</w:t>
            </w:r>
          </w:p>
        </w:tc>
      </w:tr>
    </w:tbl>
    <w:p>
      <w:pPr>
        <w:pStyle w:val="Heading1"/>
      </w:pPr>
      <w:r>
        <w:t xml:space="preserve">1. Objeto</w:t>
      </w:r>
    </w:p>
    <w:p>
      <w:pPr>
        <w:spacing w:after="120"/>
      </w:pPr>
      <w:r>
        <w:t xml:space="preserve">Reconciliación del inventario de agregados de materia prima entre NetSuite, el consumo real de producción y el conteo físico de patios, con motivo de la puesta en marcha del módulo de Control de Materias Primas. Se identifican y corrigen dos situaciones: (a) consumo de producción realmente efectuado que nunca se descontó de NetSuite, y (b) un asiento manual de reclasificación mal formado.</w:t>
      </w:r>
    </w:p>
    <w:p>
      <w:pPr>
        <w:pStyle w:val="Heading1"/>
      </w:pPr>
      <w:r>
        <w:t xml:space="preserve">2. Criterios de reconciliación</w:t>
      </w:r>
    </w:p>
    <w:p>
      <w:pPr>
        <w:spacing w:after="120"/>
      </w:pPr>
      <w:r>
        <w:rPr>
          <w:b/>
          <w:bCs/>
        </w:rPr>
        <w:t xml:space="preserve">• Unidad base. </w:t>
      </w:r>
      <w:r>
        <w:t xml:space="preserve">Los agregados se almacenan en NetSuite en unidad base metro cúbico (m³).</w:t>
      </w:r>
    </w:p>
    <w:p>
      <w:pPr>
        <w:spacing w:after="120"/>
      </w:pPr>
      <w:r>
        <w:rPr>
          <w:b/>
          <w:bCs/>
        </w:rPr>
        <w:t xml:space="preserve">• Consumo en tránsito. </w:t>
      </w:r>
      <w:r>
        <w:t xml:space="preserve">Lotes de producción (registro CR1417) sin Assembly Build; su consumo de material ya ocurrió físicamente pero aún no impacta el inventario de NetSuite. Suma verificada de los 10 lotes pendientes (20–25 jun): polvo 371.3 m³ y sello 3/8 32.5 m³.</w:t>
      </w:r>
    </w:p>
    <w:p>
      <w:pPr>
        <w:spacing w:after="120"/>
      </w:pPr>
      <w:r>
        <w:rPr>
          <w:b/>
          <w:bCs/>
        </w:rPr>
        <w:t xml:space="preserve">• Modelo. </w:t>
      </w:r>
      <w:r>
        <w:t xml:space="preserve">El saldo correcto de NetSuite = existencia física en patio + consumo en tránsito (reserva de los Builds pendientes). Al cerrarse esos lotes, los Builds descuentan el tránsito y NetSuite converge a la existencia física.</w:t>
      </w:r>
    </w:p>
    <w:p>
      <w:pPr>
        <w:spacing w:after="120"/>
      </w:pPr>
      <w:r>
        <w:rPr>
          <w:b/>
          <w:bCs/>
        </w:rPr>
        <w:t xml:space="preserve">• Cuenta de ajuste. </w:t>
      </w:r>
      <w:r>
        <w:t xml:space="preserve">500-01-005 «Ajustes en recuento físico» (id 1360) para la alineación a conteo físico.</w:t>
      </w:r>
    </w:p>
    <w:p>
      <w:pPr>
        <w:pStyle w:val="Heading1"/>
      </w:pPr>
      <w:r>
        <w:t xml:space="preserve">3. Hallazgo de auditoría — asiento IA2145</w:t>
      </w:r>
    </w:p>
    <w:p>
      <w:pPr>
        <w:spacing w:after="120"/>
      </w:pPr>
      <w:r>
        <w:t xml:space="preserve">Se detectó que el ajuste manual </w:t>
      </w:r>
      <w:r>
        <w:rPr>
          <w:b/>
          <w:bCs/>
        </w:rPr>
        <w:t xml:space="preserve">IA2145 (13-jun-2026)</w:t>
      </w:r>
      <w:r>
        <w:t xml:space="preserve"> no reconoció consumo, sino que ejecutó una reclasificación entre dos cuentas de activo, de forma incorrecta: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Cuenta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Movimiento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Importe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109-01-002 Agregados (materia prima)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Haber (−)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$40,926.49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109-03-010 Block Emblema (producto term.)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Debe (+)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$40,926.49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Defectos: </w:t>
      </w:r>
      <w:r>
        <w:t xml:space="preserve">(1) movió valor activo↔activo sin reconocer costo/consumo; (2) incrementó Block Emblema en $40,926.49 sin generar una sola pieza de bloque, dejando valor sin unidades que lo respalden; (3) retiró 365.12 m³ de polvo que físicamente permanecen en patio.</w:t>
      </w:r>
    </w:p>
    <w:p>
      <w:pPr>
        <w:pStyle w:val="Heading1"/>
      </w:pPr>
      <w:r>
        <w:t xml:space="preserve">4. Ajustes aplicados (25-jun-2026)</w:t>
      </w:r>
    </w:p>
    <w:p>
      <w:pPr>
        <w:pStyle w:val="Heading2"/>
      </w:pPr>
      <w:r>
        <w:t xml:space="preserve">4.1 Sello — alineación a conteo físico (IA2209)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1500"/>
        <w:gridCol w:w="24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NS antes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NS ahora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Ajuste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Reconocido (1360)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Sello 3/8 (1350)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518.10 m³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82.51 m³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−435.59 m³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$67,440.69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Sello 1/4 (1349)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312.73 m³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0.00 m³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−312.73 m³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$125,091.78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−748.32 m³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$192,532.47</w:t>
            </w:r>
          </w:p>
        </w:tc>
      </w:tr>
    </w:tbl>
    <w:p>
      <w:pPr>
        <w:spacing w:before="80"/>
      </w:pPr>
      <w:r>
        <w:rPr>
          <w:b/>
          <w:bCs/>
        </w:rPr>
        <w:t xml:space="preserve">Concepto: </w:t>
      </w:r>
      <w:r>
        <w:t xml:space="preserve">consumo de producción real no descontado desde febrero 2026 (lotes sin Build y builds que consumieron de menos). Sello 3/8 conserva 82.51 m³ (50 físico + 32.5 de tránsito); sello 1/4 queda en cero por estar agotado. Cargo a costo de producción vía 1360 — deducible.</w:t>
      </w:r>
    </w:p>
    <w:p>
      <w:pPr>
        <w:pStyle w:val="Heading2"/>
      </w:pPr>
      <w:r>
        <w:t xml:space="preserve">4.2 Polvo — reversa del asiento IA2145 (IA2210)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Cuenta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Movimiento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Importe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109-01-002 Agregados (materia prima)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Debe (+) 365.12 m³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$40,926.49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109-03-010 Block Emblema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Haber (−)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$40,926.49</w:t>
            </w:r>
          </w:p>
        </w:tc>
      </w:tr>
    </w:tbl>
    <w:p>
      <w:pPr>
        <w:spacing w:before="80"/>
      </w:pPr>
      <w:r>
        <w:rPr>
          <w:b/>
          <w:bCs/>
        </w:rPr>
        <w:t xml:space="preserve">Efecto: </w:t>
      </w:r>
      <w:r>
        <w:t xml:space="preserve">devuelve el polvo (físicamente presente) a materia prima y limpia el valor sin unidades de Block Emblema. Asiento activo↔activo, sin impacto en resultados.</w:t>
      </w:r>
    </w:p>
    <w:p>
      <w:pPr>
        <w:pStyle w:val="Heading1"/>
      </w:pPr>
      <w:r>
        <w:t xml:space="preserve">5. Efecto fiscal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Efecto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ISR / coeficiente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Ajuste de sello: costo de producción deducible 2026. Reversa IA2145: nulo (activo↔activo).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IVA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 efecto (no hay CFDI ni acreditamiento involucrado).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Pagos provisionales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 efecto en coeficiente de utilidad.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Balance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Materia prima y producto terminado quedan a su valor real; se elimina el valor sin respaldo en Block Emblema.</w:t>
            </w:r>
          </w:p>
        </w:tc>
      </w:tr>
    </w:tbl>
    <w:p>
      <w:pPr>
        <w:pStyle w:val="Heading1"/>
      </w:pPr>
      <w:r>
        <w:t xml:space="preserve">6. Estado posterior y trazabilidad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7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NS ahora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Polvo 3/16 (1347)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1,325.88 m³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$148,600.94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IA2210 (reversa)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Sello 3/8 (1350)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82.51 m³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$12,775.31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IA2209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Sello 1/4 (1349)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0.00 m³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$0.00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IA2209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Arena fina (1348)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0.00 m³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$0.00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 existencia</w:t>
            </w:r>
          </w:p>
        </w:tc>
      </w:tr>
    </w:tbl>
    <w:p>
      <w:pPr>
        <w:pStyle w:val="Heading1"/>
      </w:pPr>
      <w:r>
        <w:t xml:space="preserve">7. Pendiente — Polvo (en proceso)</w:t>
      </w:r>
    </w:p>
    <w:p>
      <w:pPr>
        <w:spacing w:after="120"/>
      </w:pPr>
      <w:r>
        <w:t xml:space="preserve">El polvo no requiere castigo. Su descuadre se explica por compra real no registrada: hay material entregado por el proveedor (boletos de carga) que aún no se recibe en NetSuite. Resolución en curso, sobre la aplicación:</w:t>
      </w:r>
    </w:p>
    <w:p>
      <w:pPr>
        <w:spacing w:after="120"/>
      </w:pPr>
      <w:r>
        <w:rPr>
          <w:b/>
          <w:bCs/>
        </w:rPr>
        <w:t xml:space="preserve">a) </w:t>
      </w:r>
      <w:r>
        <w:t xml:space="preserve">Recibir los boletos de la OC PO6865 (CATAB, 525 m³ ordenados; 56 m³ ya ingresados) contra la orden de compra.</w:t>
      </w:r>
    </w:p>
    <w:p>
      <w:pPr>
        <w:spacing w:after="120"/>
      </w:pPr>
      <w:r>
        <w:rPr>
          <w:b/>
          <w:bCs/>
        </w:rPr>
        <w:t xml:space="preserve">b) </w:t>
      </w:r>
      <w:r>
        <w:t xml:space="preserve">Ajuste fino final a conteo físico: existencia 1,575 m³ (3 almacenes × 525) + tránsito 371.3 m³ = 1,946.3 m³ objetivo en NetSuite. El residual posterior a los boletos se reconoce contra 1360.</w:t>
      </w:r>
    </w:p>
    <w:p>
      <w:pPr>
        <w:spacing w:after="120"/>
      </w:pPr>
      <w:r>
        <w:rPr>
          <w:b/>
          <w:bCs/>
          <w:color w:val="385723"/>
        </w:rPr>
        <w:t xml:space="preserve">Nota: </w:t>
      </w:r>
      <w:r>
        <w:t xml:space="preserve">tras cerrar los 10 lotes pendientes (Builds −371.3 m³ de polvo y −32.5 m³ de sello 3/8), NetSuite converge a la existencia física.</w:t>
      </w:r>
    </w:p>
    <w:p>
      <w:pPr>
        <w:pBdr>
          <w:top w:val="single" w:color="1F4E79" w:sz="6" w:space="6"/>
        </w:pBdr>
        <w:spacing w:after="0" w:before="300"/>
      </w:pPr>
      <w:r>
        <w:t xml:space="preserve"/>
      </w:r>
    </w:p>
    <w:p>
      <w:pPr>
        <w:spacing w:before="120"/>
      </w:pPr>
      <w:r>
        <w:rPr>
          <w:b/>
          <w:bCs/>
        </w:rPr>
        <w:t xml:space="preserve">Documentos NetSuite: </w:t>
      </w:r>
      <w:r>
        <w:t xml:space="preserve">IA2209 (id 176856) · IA2210 (id 176956) · referencia al asiento corregido IA2145 (id 168254).</w:t>
      </w:r>
    </w:p>
    <w:p>
      <w:pPr>
        <w:spacing w:after="120"/>
      </w:pPr>
      <w:r>
        <w:rPr>
          <w:b/>
          <w:bCs/>
        </w:rPr>
        <w:t xml:space="preserve">Sistemas de respaldo: </w:t>
      </w:r>
      <w:r>
        <w:t xml:space="preserve">Producción CR1417 (NetSuite) · niveles físicos en módulo Materias Primas (Supabase) · recepción por boletos vía función agregados-recepcion.</w:t>
      </w:r>
    </w:p>
    <w:sectPr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2026-06-26T01:09:50.638Z</dcterms:created>
  <dcterms:modified xsi:type="dcterms:W3CDTF">2026-06-26T01:09:50.638Z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