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B40C69" w:rsidRDefault="00B40C69" w:rsidP="0036187B">
      <w:pPr>
        <w:rPr>
          <w:sz w:val="28"/>
        </w:rPr>
      </w:pPr>
    </w:p>
    <w:p w:rsidR="00B40C69" w:rsidRDefault="00B40C69" w:rsidP="00361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B40C69" w:rsidRDefault="00BE0447" w:rsidP="0036187B">
            <w:pPr>
              <w:rPr>
                <w:sz w:val="28"/>
              </w:rPr>
            </w:pPr>
            <w:proofErr w:type="spellStart"/>
            <w:r w:rsidRPr="00B40C69">
              <w:rPr>
                <w:sz w:val="28"/>
              </w:rPr>
              <w:t>Utente</w:t>
            </w:r>
            <w:r w:rsidR="0069087E" w:rsidRPr="00B40C69">
              <w:rPr>
                <w:sz w:val="28"/>
              </w:rPr>
              <w:t>Manager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Default="00BE0447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DA5598"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 w:rsidR="00DA5598">
              <w:t>p</w:t>
            </w:r>
            <w:r>
              <w:t xml:space="preserve">ublic </w:t>
            </w:r>
            <w:proofErr w:type="spellStart"/>
            <w:r w:rsidR="00DA5598">
              <w:t>doSave</w:t>
            </w:r>
            <w:proofErr w:type="spellEnd"/>
            <w:r w:rsidR="00DA5598">
              <w:t xml:space="preserve">(Utente </w:t>
            </w:r>
            <w:proofErr w:type="spellStart"/>
            <w:r w:rsidR="00DA5598">
              <w:t>utenteBean</w:t>
            </w:r>
            <w:proofErr w:type="spellEnd"/>
            <w:r>
              <w:t xml:space="preserve">); </w:t>
            </w:r>
          </w:p>
          <w:p w:rsidR="00BE0447" w:rsidRDefault="00BE0447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password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indirizzo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ruolo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DA5598" w:rsidRPr="00DA5598" w:rsidRDefault="00DA5598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DA5598" w:rsidRDefault="00DA5598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indirizzo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ruolo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944D59" w:rsidRDefault="00944D59" w:rsidP="0036187B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r w:rsidR="00B40C69">
              <w:t>utente</w:t>
            </w:r>
            <w:r>
              <w:t>);</w:t>
            </w:r>
          </w:p>
          <w:p w:rsidR="00DA5598" w:rsidRDefault="00944D59" w:rsidP="0036187B">
            <w:proofErr w:type="spell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944D59" w:rsidRDefault="00944D59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69087E" w:rsidRDefault="0069087E" w:rsidP="0069087E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BE0447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proofErr w:type="spellStart"/>
            <w:r w:rsidR="00B40C69">
              <w:t>utenteBean</w:t>
            </w:r>
            <w:proofErr w:type="spellEnd"/>
            <w:r>
              <w:t>);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doRetrieveByKey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E0447" w:rsidRDefault="00BE0447" w:rsidP="0036187B">
            <w:pPr>
              <w:rPr>
                <w:sz w:val="28"/>
              </w:rPr>
            </w:pPr>
          </w:p>
        </w:tc>
      </w:tr>
    </w:tbl>
    <w:p w:rsidR="00F6406E" w:rsidRDefault="00F6406E" w:rsidP="0036187B">
      <w:pPr>
        <w:rPr>
          <w:sz w:val="28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B40C69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Tr="00803047">
        <w:tc>
          <w:tcPr>
            <w:tcW w:w="2972" w:type="dxa"/>
          </w:tcPr>
          <w:p w:rsidR="00B40C69" w:rsidRPr="0069087E" w:rsidRDefault="00B40C69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B40C69" w:rsidRDefault="00B40C69" w:rsidP="0080304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Prodotto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B40C69" w:rsidTr="00803047">
        <w:tc>
          <w:tcPr>
            <w:tcW w:w="2972" w:type="dxa"/>
          </w:tcPr>
          <w:p w:rsidR="00B40C69" w:rsidRPr="0069087E" w:rsidRDefault="00B40C69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Default="00B40C69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>(</w:t>
            </w:r>
            <w:r>
              <w:t>Prodotto</w:t>
            </w:r>
            <w:r>
              <w:t xml:space="preserve"> </w:t>
            </w:r>
            <w:proofErr w:type="spellStart"/>
            <w:r>
              <w:t>prodotto</w:t>
            </w:r>
            <w:r>
              <w:t>Bean</w:t>
            </w:r>
            <w:proofErr w:type="spellEnd"/>
            <w:r>
              <w:t xml:space="preserve">); </w:t>
            </w:r>
          </w:p>
          <w:p w:rsidR="00B40C69" w:rsidRDefault="00B40C69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4236E5">
              <w:t>prodottoBean.idProdotto</w:t>
            </w:r>
            <w:proofErr w:type="spellEnd"/>
            <w:r w:rsidR="004236E5">
              <w:t xml:space="preserve"> &gt; 0 &amp;&amp; </w:t>
            </w:r>
            <w:proofErr w:type="spellStart"/>
            <w:proofErr w:type="gramStart"/>
            <w:r w:rsidR="004236E5">
              <w:t>prodottoBean.</w:t>
            </w:r>
            <w:r w:rsidR="004236E5">
              <w:t>nome</w:t>
            </w:r>
            <w:proofErr w:type="spellEnd"/>
            <w:r w:rsidR="004236E5">
              <w:t xml:space="preserve"> !</w:t>
            </w:r>
            <w:proofErr w:type="gramEnd"/>
            <w:r w:rsidR="004236E5">
              <w:t xml:space="preserve">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</w:t>
            </w:r>
            <w:r w:rsidR="004236E5">
              <w:t>tipologia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</w:t>
            </w:r>
            <w:r w:rsidR="004236E5">
              <w:t>marca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</w:t>
            </w:r>
            <w:r w:rsidR="004236E5">
              <w:t>prezzo</w:t>
            </w:r>
            <w:proofErr w:type="spellEnd"/>
            <w:r w:rsidR="004236E5">
              <w:t xml:space="preserve"> &gt; 0 &amp;&amp; </w:t>
            </w:r>
            <w:proofErr w:type="spellStart"/>
            <w:r w:rsidR="004236E5">
              <w:t>prodottoBean.</w:t>
            </w:r>
            <w:r w:rsidR="004236E5">
              <w:t>quantità</w:t>
            </w:r>
            <w:proofErr w:type="spellEnd"/>
            <w:r w:rsidR="004236E5">
              <w:t xml:space="preserve"> &gt; 0 &amp;&amp; </w:t>
            </w:r>
            <w:proofErr w:type="spellStart"/>
            <w:r w:rsidR="00AF067F">
              <w:t>prodottoBean.</w:t>
            </w:r>
            <w:r w:rsidR="00AF067F">
              <w:t>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803047">
            <w:pPr>
              <w:rPr>
                <w:sz w:val="28"/>
              </w:rPr>
            </w:pPr>
          </w:p>
          <w:p w:rsidR="00B40C69" w:rsidRPr="00DA5598" w:rsidRDefault="00B40C69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>(</w:t>
            </w:r>
            <w:r>
              <w:t>Prodotto</w:t>
            </w:r>
            <w:r>
              <w:t xml:space="preserve"> </w:t>
            </w:r>
            <w:proofErr w:type="spellStart"/>
            <w:r>
              <w:t>prodotto</w:t>
            </w:r>
            <w:r>
              <w:t>Bean</w:t>
            </w:r>
            <w:proofErr w:type="spellEnd"/>
            <w:r>
              <w:t xml:space="preserve">); </w:t>
            </w:r>
          </w:p>
          <w:p w:rsidR="00AF067F" w:rsidRDefault="00B40C69" w:rsidP="00AF067F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AF067F">
              <w:t>prodottoBean.idProdotto</w:t>
            </w:r>
            <w:proofErr w:type="spellEnd"/>
            <w:r w:rsidR="00AF067F">
              <w:t xml:space="preserve"> &gt; 0 &amp;&amp; </w:t>
            </w:r>
            <w:proofErr w:type="spellStart"/>
            <w:proofErr w:type="gramStart"/>
            <w:r w:rsidR="00AF067F">
              <w:t>prodottoBean.nome</w:t>
            </w:r>
            <w:proofErr w:type="spellEnd"/>
            <w:r w:rsidR="00AF067F">
              <w:t xml:space="preserve"> !</w:t>
            </w:r>
            <w:proofErr w:type="gramEnd"/>
            <w:r w:rsidR="00AF067F">
              <w:t xml:space="preserve">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prodottoBean.tipologia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prodottoBean.marca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prodottoBean.prezzo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prodottoBean.quantità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803047">
            <w:pPr>
              <w:rPr>
                <w:sz w:val="28"/>
              </w:rPr>
            </w:pPr>
          </w:p>
          <w:p w:rsidR="00B40C69" w:rsidRDefault="00B40C69" w:rsidP="00803047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>
              <w:t>Prodotto</w:t>
            </w:r>
            <w:r>
              <w:t xml:space="preserve">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B40C69" w:rsidRDefault="00B40C69" w:rsidP="00803047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r>
              <w:t xml:space="preserve"> </w:t>
            </w:r>
            <w:r w:rsidR="00AF067F">
              <w:t>prodottoBean.</w:t>
            </w:r>
            <w:r>
              <w:t>id</w:t>
            </w:r>
            <w:proofErr w:type="gramEnd"/>
            <w:r>
              <w:t xml:space="preserve"> &gt; 0</w:t>
            </w:r>
          </w:p>
          <w:p w:rsidR="00B40C69" w:rsidRDefault="00B40C69" w:rsidP="00803047"/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</w:t>
            </w:r>
            <w:r>
              <w:t>);</w:t>
            </w:r>
          </w:p>
          <w:p w:rsidR="00B40C69" w:rsidRPr="0069087E" w:rsidRDefault="00B40C69" w:rsidP="00803047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r w:rsidR="00AF067F">
              <w:t>prodottoBean.</w:t>
            </w:r>
            <w:r>
              <w:t>id &gt; 0</w:t>
            </w:r>
          </w:p>
        </w:tc>
      </w:tr>
      <w:tr w:rsidR="00B40C69" w:rsidTr="00803047">
        <w:tc>
          <w:tcPr>
            <w:tcW w:w="2972" w:type="dxa"/>
          </w:tcPr>
          <w:p w:rsidR="00B40C69" w:rsidRPr="0069087E" w:rsidRDefault="00B40C69" w:rsidP="008030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Pr="004236E5" w:rsidRDefault="00B40C69" w:rsidP="00803047">
            <w:r>
              <w:rPr>
                <w:b/>
              </w:rPr>
              <w:t xml:space="preserve">post </w:t>
            </w:r>
            <w:proofErr w:type="spellStart"/>
            <w:r w:rsidR="004236E5">
              <w:t>doSave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803047"/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Default="00B40C69" w:rsidP="00803047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doUpdate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803047"/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Default="00B40C69" w:rsidP="00803047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doDelete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803047"/>
          <w:p w:rsidR="00B40C69" w:rsidRDefault="00B40C69" w:rsidP="00803047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Pr="004236E5" w:rsidRDefault="00B40C69" w:rsidP="00803047">
            <w:r>
              <w:rPr>
                <w:b/>
              </w:rPr>
              <w:t xml:space="preserve">post </w:t>
            </w:r>
            <w:proofErr w:type="spellStart"/>
            <w:r w:rsidR="004236E5">
              <w:t>doRetrieveByKey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</w:tc>
      </w:tr>
      <w:tr w:rsidR="00B40C69" w:rsidTr="00803047">
        <w:tc>
          <w:tcPr>
            <w:tcW w:w="2972" w:type="dxa"/>
          </w:tcPr>
          <w:p w:rsidR="00B40C69" w:rsidRPr="0069087E" w:rsidRDefault="00B40C69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Default="00B40C69" w:rsidP="00803047">
            <w:pPr>
              <w:rPr>
                <w:sz w:val="28"/>
              </w:rPr>
            </w:pPr>
          </w:p>
        </w:tc>
      </w:tr>
    </w:tbl>
    <w:p w:rsidR="00B40C69" w:rsidRDefault="00B40C69" w:rsidP="00B40C69">
      <w:pPr>
        <w:rPr>
          <w:sz w:val="28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AF067F" w:rsidRDefault="00AF067F" w:rsidP="00AF067F">
      <w:pPr>
        <w:rPr>
          <w:b/>
          <w:sz w:val="32"/>
          <w:szCs w:val="32"/>
        </w:rPr>
      </w:pPr>
    </w:p>
    <w:p w:rsidR="00AF067F" w:rsidRDefault="00AF067F" w:rsidP="00AF067F">
      <w:pPr>
        <w:rPr>
          <w:sz w:val="28"/>
        </w:rPr>
      </w:pPr>
    </w:p>
    <w:p w:rsidR="00AF067F" w:rsidRDefault="00AF067F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Tr="00803047">
        <w:tc>
          <w:tcPr>
            <w:tcW w:w="2972" w:type="dxa"/>
          </w:tcPr>
          <w:p w:rsidR="00AF067F" w:rsidRPr="0069087E" w:rsidRDefault="00AF067F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lastRenderedPageBreak/>
              <w:t>Nome classe</w:t>
            </w:r>
          </w:p>
        </w:tc>
        <w:tc>
          <w:tcPr>
            <w:tcW w:w="6656" w:type="dxa"/>
          </w:tcPr>
          <w:p w:rsidR="00AF067F" w:rsidRPr="00B40C69" w:rsidRDefault="00AF067F" w:rsidP="0080304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Riparazione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AF067F" w:rsidTr="00803047">
        <w:tc>
          <w:tcPr>
            <w:tcW w:w="2972" w:type="dxa"/>
          </w:tcPr>
          <w:p w:rsidR="00AF067F" w:rsidRPr="0069087E" w:rsidRDefault="00AF067F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Default="00AF067F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>(</w:t>
            </w:r>
            <w:r>
              <w:t>Date data</w:t>
            </w:r>
            <w:r>
              <w:t xml:space="preserve">); </w:t>
            </w:r>
          </w:p>
          <w:p w:rsidR="00AF067F" w:rsidRDefault="00AF067F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803047">
            <w:pPr>
              <w:rPr>
                <w:sz w:val="28"/>
              </w:rPr>
            </w:pPr>
          </w:p>
          <w:p w:rsidR="00AF067F" w:rsidRPr="00DA5598" w:rsidRDefault="00AF067F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>(</w:t>
            </w:r>
            <w:r>
              <w:t>Date data</w:t>
            </w:r>
            <w:r>
              <w:t xml:space="preserve">); </w:t>
            </w:r>
          </w:p>
          <w:p w:rsidR="00AF067F" w:rsidRDefault="00AF067F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803047">
            <w:pPr>
              <w:rPr>
                <w:sz w:val="28"/>
              </w:rPr>
            </w:pPr>
          </w:p>
          <w:p w:rsidR="00AF067F" w:rsidRDefault="00AF067F" w:rsidP="00803047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</w:t>
            </w:r>
            <w:r w:rsidR="001A06C9">
              <w:t>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AF067F" w:rsidRPr="0069087E" w:rsidRDefault="00AF067F" w:rsidP="00803047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>
              <w:t>prodottoBean</w:t>
            </w:r>
            <w:r w:rsidR="001A06C9">
              <w:t>.statoRiparazione</w:t>
            </w:r>
            <w:proofErr w:type="spellEnd"/>
            <w:proofErr w:type="gramEnd"/>
            <w:r w:rsidR="001A06C9">
              <w:t xml:space="preserve"> != </w:t>
            </w:r>
            <w:proofErr w:type="spellStart"/>
            <w:r w:rsidR="001A06C9">
              <w:t>null</w:t>
            </w:r>
            <w:proofErr w:type="spellEnd"/>
          </w:p>
        </w:tc>
      </w:tr>
      <w:tr w:rsidR="001A06C9" w:rsidTr="00803047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Pr="00DA5598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Default="001A06C9" w:rsidP="001A06C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1A06C9" w:rsidRPr="0069087E" w:rsidRDefault="001A06C9" w:rsidP="001A06C9">
            <w:proofErr w:type="gramStart"/>
            <w:r w:rsidRPr="00944D59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 </w:t>
            </w:r>
            <w:proofErr w:type="spellStart"/>
            <w:r>
              <w:t>doUpdateRiparazione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1A06C9" w:rsidTr="00803047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Default="001A06C9" w:rsidP="001A06C9">
            <w:pPr>
              <w:rPr>
                <w:sz w:val="28"/>
              </w:rPr>
            </w:pPr>
          </w:p>
        </w:tc>
      </w:tr>
    </w:tbl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80304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Carrello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>(</w:t>
            </w:r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prodottoBean.idProdotto</w:t>
            </w:r>
            <w:proofErr w:type="spellEnd"/>
            <w:r>
              <w:t xml:space="preserve"> &gt; 0 &amp;&amp; </w:t>
            </w:r>
            <w:proofErr w:type="spellStart"/>
            <w:proofErr w:type="gramStart"/>
            <w:r>
              <w:t>prodottoBean.nome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prodottoBean.tipologia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prodottoBean.marca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prodottoBean.prezzo</w:t>
            </w:r>
            <w:proofErr w:type="spellEnd"/>
            <w:r>
              <w:t xml:space="preserve"> &gt; 0 &amp;&amp; </w:t>
            </w:r>
            <w:proofErr w:type="spellStart"/>
            <w:r>
              <w:t>prodottoBean.quantità</w:t>
            </w:r>
            <w:proofErr w:type="spellEnd"/>
            <w:r>
              <w:t xml:space="preserve"> &gt; 0 &amp;&amp; </w:t>
            </w:r>
            <w:proofErr w:type="spellStart"/>
            <w:r>
              <w:t>prodottoBean.immagine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DB43CC" w:rsidRDefault="00DB43CC" w:rsidP="00803047">
            <w:pPr>
              <w:rPr>
                <w:sz w:val="28"/>
              </w:rPr>
            </w:pPr>
          </w:p>
          <w:p w:rsidR="00DB43CC" w:rsidRPr="00DA5598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</w:t>
            </w:r>
            <w:r>
              <w:t>oDelete</w:t>
            </w:r>
            <w:proofErr w:type="spellEnd"/>
            <w:r>
              <w:t>(</w:t>
            </w:r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803047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r>
              <w:t>prodottoBean.id</w:t>
            </w:r>
            <w:proofErr w:type="gramEnd"/>
            <w:r>
              <w:t xml:space="preserve"> &gt; 0</w:t>
            </w:r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>(</w:t>
            </w:r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803047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803047">
            <w:pPr>
              <w:rPr>
                <w:sz w:val="28"/>
              </w:rPr>
            </w:pPr>
          </w:p>
          <w:p w:rsidR="00DB43CC" w:rsidRPr="00DA5598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</w:t>
            </w:r>
            <w:r>
              <w:t>Delete</w:t>
            </w:r>
            <w:proofErr w:type="spellEnd"/>
            <w:r>
              <w:t>(</w:t>
            </w:r>
            <w:r>
              <w:t xml:space="preserve">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803047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</w:t>
            </w:r>
            <w:r>
              <w:t>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803047">
            <w:pPr>
              <w:rPr>
                <w:sz w:val="28"/>
              </w:rPr>
            </w:pPr>
          </w:p>
        </w:tc>
      </w:tr>
    </w:tbl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DB43CC">
      <w:pPr>
        <w:rPr>
          <w:sz w:val="28"/>
        </w:rPr>
      </w:pPr>
    </w:p>
    <w:p w:rsidR="00DB43CC" w:rsidRDefault="00DB43CC" w:rsidP="00DB43CC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80304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Recensione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</w:t>
            </w:r>
            <w:r>
              <w:t xml:space="preserve">); </w:t>
            </w:r>
          </w:p>
          <w:p w:rsidR="00DB43CC" w:rsidRDefault="00DB43CC" w:rsidP="00803047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recensione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DB43CC" w:rsidRDefault="00DB43CC" w:rsidP="00803047">
            <w:pPr>
              <w:rPr>
                <w:sz w:val="28"/>
              </w:rPr>
            </w:pPr>
          </w:p>
          <w:p w:rsidR="00DB43CC" w:rsidRPr="00DA5598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</w:t>
            </w:r>
            <w:r>
              <w:t>ecensione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803047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 w:rsidR="001127E0">
              <w:t>prodottoBean.</w:t>
            </w:r>
            <w:r>
              <w:t>recensione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</w:t>
            </w:r>
            <w:r>
              <w:t>ecensione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803047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803047">
            <w:pPr>
              <w:rPr>
                <w:sz w:val="28"/>
              </w:rPr>
            </w:pPr>
          </w:p>
          <w:p w:rsidR="00DB43CC" w:rsidRPr="00DA5598" w:rsidRDefault="00DB43CC" w:rsidP="00803047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</w:t>
            </w:r>
            <w:r>
              <w:t>ecensione</w:t>
            </w:r>
            <w:r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803047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803047">
        <w:tc>
          <w:tcPr>
            <w:tcW w:w="2972" w:type="dxa"/>
          </w:tcPr>
          <w:p w:rsidR="00DB43CC" w:rsidRPr="0069087E" w:rsidRDefault="00DB43CC" w:rsidP="00803047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803047">
            <w:pPr>
              <w:rPr>
                <w:sz w:val="28"/>
              </w:rPr>
            </w:pPr>
          </w:p>
        </w:tc>
      </w:tr>
    </w:tbl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  <w:bookmarkStart w:id="0" w:name="_GoBack"/>
      <w:bookmarkEnd w:id="0"/>
    </w:p>
    <w:p w:rsidR="00DA5598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3.1 Class </w:t>
      </w:r>
      <w:proofErr w:type="spellStart"/>
      <w:r>
        <w:rPr>
          <w:b/>
          <w:sz w:val="32"/>
          <w:szCs w:val="32"/>
        </w:rPr>
        <w:t>Diagram</w:t>
      </w:r>
      <w:proofErr w:type="spellEnd"/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P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>
        <w:rPr>
          <w:sz w:val="23"/>
          <w:szCs w:val="23"/>
        </w:rPr>
        <w:t>avvaremo</w:t>
      </w:r>
      <w:proofErr w:type="spellEnd"/>
      <w:r>
        <w:rPr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>
        <w:rPr>
          <w:sz w:val="23"/>
          <w:szCs w:val="23"/>
        </w:rPr>
        <w:t>Methode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Invocation</w:t>
      </w:r>
      <w:proofErr w:type="spellEnd"/>
      <w:r>
        <w:rPr>
          <w:sz w:val="23"/>
          <w:szCs w:val="23"/>
        </w:rPr>
        <w:t xml:space="preserve">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3"/>
          <w:szCs w:val="23"/>
        </w:rPr>
        <w:t>Le immagini verranno memorizzate e caricate separatamente dal testo. Se non viene caricata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sz w:val="23"/>
          <w:szCs w:val="23"/>
        </w:rPr>
        <w:t>” (immagine reale), una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visualizza un rettangolo grigio in luogo dell'immagine. Il client non può distinguere che si tratta di un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invece di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i/>
          <w:iCs/>
          <w:sz w:val="23"/>
          <w:szCs w:val="23"/>
        </w:rPr>
        <w:t>”.</w:t>
      </w: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7D3" w:rsidRDefault="00C257D3" w:rsidP="001B21E6">
      <w:pPr>
        <w:spacing w:after="0" w:line="240" w:lineRule="auto"/>
      </w:pPr>
      <w:r>
        <w:separator/>
      </w:r>
    </w:p>
  </w:endnote>
  <w:endnote w:type="continuationSeparator" w:id="0">
    <w:p w:rsidR="00C257D3" w:rsidRDefault="00C257D3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7D3" w:rsidRDefault="00C257D3" w:rsidP="001B21E6">
      <w:pPr>
        <w:spacing w:after="0" w:line="240" w:lineRule="auto"/>
      </w:pPr>
      <w:r>
        <w:separator/>
      </w:r>
    </w:p>
  </w:footnote>
  <w:footnote w:type="continuationSeparator" w:id="0">
    <w:p w:rsidR="00C257D3" w:rsidRDefault="00C257D3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D309E"/>
    <w:rsid w:val="00100303"/>
    <w:rsid w:val="001127E0"/>
    <w:rsid w:val="00125619"/>
    <w:rsid w:val="001A06C9"/>
    <w:rsid w:val="001B21E6"/>
    <w:rsid w:val="002A3339"/>
    <w:rsid w:val="002B7041"/>
    <w:rsid w:val="002D7B12"/>
    <w:rsid w:val="002F2845"/>
    <w:rsid w:val="00307827"/>
    <w:rsid w:val="00336DB0"/>
    <w:rsid w:val="0036187B"/>
    <w:rsid w:val="003F421C"/>
    <w:rsid w:val="004236E5"/>
    <w:rsid w:val="00465867"/>
    <w:rsid w:val="0049075E"/>
    <w:rsid w:val="004B0EA5"/>
    <w:rsid w:val="004E625E"/>
    <w:rsid w:val="00521554"/>
    <w:rsid w:val="00556367"/>
    <w:rsid w:val="005D07E7"/>
    <w:rsid w:val="0069087E"/>
    <w:rsid w:val="006A6964"/>
    <w:rsid w:val="006A7E79"/>
    <w:rsid w:val="006C1528"/>
    <w:rsid w:val="006C5272"/>
    <w:rsid w:val="006D6879"/>
    <w:rsid w:val="00753D2E"/>
    <w:rsid w:val="0081149B"/>
    <w:rsid w:val="0086131F"/>
    <w:rsid w:val="008F5FF5"/>
    <w:rsid w:val="00944D59"/>
    <w:rsid w:val="009D59A9"/>
    <w:rsid w:val="00AF067F"/>
    <w:rsid w:val="00B35BE7"/>
    <w:rsid w:val="00B40C69"/>
    <w:rsid w:val="00B54D5C"/>
    <w:rsid w:val="00BE0447"/>
    <w:rsid w:val="00C257D3"/>
    <w:rsid w:val="00C32875"/>
    <w:rsid w:val="00CC52DB"/>
    <w:rsid w:val="00D57637"/>
    <w:rsid w:val="00D80403"/>
    <w:rsid w:val="00DA5598"/>
    <w:rsid w:val="00DB43CC"/>
    <w:rsid w:val="00E43247"/>
    <w:rsid w:val="00E64F71"/>
    <w:rsid w:val="00EB2817"/>
    <w:rsid w:val="00F05406"/>
    <w:rsid w:val="00F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8589E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6BB1C-072C-4EA0-A62D-E5B0CE89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3171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46</cp:revision>
  <dcterms:created xsi:type="dcterms:W3CDTF">2019-01-10T11:04:00Z</dcterms:created>
  <dcterms:modified xsi:type="dcterms:W3CDTF">2019-01-16T15:25:00Z</dcterms:modified>
</cp:coreProperties>
</file>