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184C8154" w:rsidR="009A23C6" w:rsidRDefault="009A23C6" w:rsidP="009A23C6">
      <w:pPr>
        <w:spacing w:before="480"/>
      </w:pPr>
    </w:p>
    <w:p w14:paraId="4A0A3ED1" w14:textId="77777777" w:rsidR="00E61FDE" w:rsidRDefault="00E61FDE" w:rsidP="009A23C6">
      <w:pPr>
        <w:spacing w:before="480"/>
      </w:pPr>
    </w:p>
    <w:p w14:paraId="70CCBBFE" w14:textId="77777777" w:rsidR="00E61FDE" w:rsidRDefault="00E61FDE" w:rsidP="00E61FDE">
      <w:pPr>
        <w:rPr>
          <w:sz w:val="20"/>
          <w:szCs w:val="20"/>
        </w:rPr>
      </w:pPr>
      <w:r>
        <w:rPr>
          <w:rFonts w:ascii="Century Gothic" w:eastAsia="Century Gothic" w:hAnsi="Century Gothic" w:cs="Century Gothic"/>
          <w:color w:val="2F5496"/>
          <w:sz w:val="36"/>
          <w:szCs w:val="36"/>
        </w:rPr>
        <w:t>Sommario</w:t>
      </w:r>
    </w:p>
    <w:p w14:paraId="7954FB47" w14:textId="77777777" w:rsidR="00E61FDE" w:rsidRDefault="00E61FDE" w:rsidP="00E61FDE">
      <w:pPr>
        <w:spacing w:line="34" w:lineRule="exact"/>
        <w:rPr>
          <w:sz w:val="20"/>
          <w:szCs w:val="20"/>
        </w:rPr>
      </w:pPr>
    </w:p>
    <w:p w14:paraId="1D06EA74" w14:textId="21F0E455"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Introduction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673EBAC" w14:textId="40CEACA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Purpose Of The System</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DDF5732" w14:textId="262D054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Design </w:t>
      </w:r>
      <w:proofErr w:type="spellStart"/>
      <w:r w:rsidRPr="00037D1E">
        <w:rPr>
          <w:rFonts w:ascii="Garamond" w:hAnsi="Garamond"/>
          <w:sz w:val="28"/>
          <w:szCs w:val="28"/>
        </w:rPr>
        <w:t>goals</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652D7229" w14:textId="6EBF553C"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color w:val="000000" w:themeColor="text1"/>
          <w:sz w:val="28"/>
          <w:szCs w:val="28"/>
        </w:rPr>
        <w:t>Definizione, acronimi e abbreviazioni</w:t>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t>4</w:t>
      </w:r>
    </w:p>
    <w:p w14:paraId="1D3B32B0" w14:textId="683C17C7"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Riferimenti</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4</w:t>
      </w:r>
    </w:p>
    <w:p w14:paraId="72948CE8" w14:textId="49F86B46"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Proposed</w:t>
      </w:r>
      <w:proofErr w:type="spellEnd"/>
      <w:r w:rsidRPr="00037D1E">
        <w:rPr>
          <w:rFonts w:ascii="Garamond" w:hAnsi="Garamond"/>
          <w:sz w:val="28"/>
          <w:szCs w:val="28"/>
        </w:rPr>
        <w:t xml:space="preserve"> Software Architecture</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7F2FF844" w14:textId="0217F96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Overview</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12589ABD" w14:textId="25401D1A"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Subsystem </w:t>
      </w:r>
      <w:proofErr w:type="spellStart"/>
      <w:r w:rsidRPr="00037D1E">
        <w:rPr>
          <w:rFonts w:ascii="Garamond" w:hAnsi="Garamond"/>
          <w:sz w:val="28"/>
          <w:szCs w:val="28"/>
        </w:rPr>
        <w:t>Decomposition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68C6D929" w14:textId="403B1669"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Hardware/Software Mapping</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6</w:t>
      </w:r>
    </w:p>
    <w:p w14:paraId="6AE8415D" w14:textId="394660F0"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Persistent</w:t>
      </w:r>
      <w:proofErr w:type="spellEnd"/>
      <w:r w:rsidRPr="00037D1E">
        <w:rPr>
          <w:rFonts w:ascii="Garamond" w:hAnsi="Garamond"/>
          <w:sz w:val="28"/>
          <w:szCs w:val="28"/>
        </w:rPr>
        <w:t xml:space="preserve"> Data Manager</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8</w:t>
      </w:r>
    </w:p>
    <w:p w14:paraId="75C573F5" w14:textId="39C85E6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Access Control And Security</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12</w:t>
      </w:r>
    </w:p>
    <w:p w14:paraId="25DB858C" w14:textId="2382DF0D"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Global Software Control</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6DD21688" w14:textId="0F176E68"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Boundary</w:t>
      </w:r>
      <w:proofErr w:type="spellEnd"/>
      <w:r w:rsidRPr="00037D1E">
        <w:rPr>
          <w:rFonts w:ascii="Garamond" w:hAnsi="Garamond"/>
          <w:sz w:val="28"/>
          <w:szCs w:val="28"/>
        </w:rPr>
        <w:t xml:space="preserve"> Condition</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0AD0826E" w14:textId="50B86EA4" w:rsidR="00E61FDE" w:rsidRPr="00037D1E" w:rsidRDefault="00E61FDE" w:rsidP="00E61FDE">
      <w:pPr>
        <w:pStyle w:val="Paragrafoelenco"/>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8"/>
          <w:szCs w:val="28"/>
          <w:lang w:eastAsia="it-IT"/>
        </w:rPr>
      </w:pPr>
      <w:r w:rsidRPr="00037D1E">
        <w:rPr>
          <w:rFonts w:ascii="Garamond" w:eastAsia="Times New Roman" w:hAnsi="Garamond" w:cs="Courier New"/>
          <w:color w:val="212121"/>
          <w:sz w:val="28"/>
          <w:szCs w:val="28"/>
          <w:lang w:val="en" w:eastAsia="it-IT"/>
        </w:rPr>
        <w:t>Subsystem services</w:t>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t>14</w:t>
      </w:r>
    </w:p>
    <w:p w14:paraId="46AF54FA" w14:textId="4D2FA5A3" w:rsidR="00E61FDE" w:rsidRDefault="00E61FDE" w:rsidP="00E61FDE">
      <w:pPr>
        <w:pStyle w:val="Paragrafoelenco"/>
        <w:spacing w:before="480"/>
      </w:pPr>
    </w:p>
    <w:p w14:paraId="52AB1C66" w14:textId="77777777" w:rsidR="00E61FDE" w:rsidRPr="00E61FDE" w:rsidRDefault="00E61FDE" w:rsidP="00E61FDE">
      <w:pPr>
        <w:spacing w:before="480"/>
      </w:pPr>
    </w:p>
    <w:p w14:paraId="74FF1633" w14:textId="688F54F3" w:rsidR="009A23C6" w:rsidRDefault="009A23C6" w:rsidP="009A23C6">
      <w:pPr>
        <w:spacing w:before="480"/>
      </w:pPr>
    </w:p>
    <w:p w14:paraId="5DBADB99" w14:textId="648756F2" w:rsidR="00037D1E" w:rsidRDefault="00037D1E" w:rsidP="009A23C6">
      <w:pPr>
        <w:spacing w:before="480"/>
      </w:pPr>
    </w:p>
    <w:p w14:paraId="371F5E00" w14:textId="496608E8" w:rsidR="00037D1E" w:rsidRDefault="00037D1E" w:rsidP="009A23C6">
      <w:pPr>
        <w:spacing w:before="480"/>
      </w:pPr>
    </w:p>
    <w:p w14:paraId="6A707D20" w14:textId="787D3473" w:rsidR="00037D1E" w:rsidRDefault="00037D1E" w:rsidP="009A23C6">
      <w:pPr>
        <w:spacing w:before="480"/>
      </w:pPr>
    </w:p>
    <w:p w14:paraId="76521B55" w14:textId="46EF79F3" w:rsidR="00037D1E" w:rsidRDefault="00037D1E" w:rsidP="009A23C6">
      <w:pPr>
        <w:spacing w:before="480"/>
      </w:pPr>
    </w:p>
    <w:p w14:paraId="153BA876" w14:textId="2CBA63D3" w:rsidR="00037D1E" w:rsidRDefault="00037D1E" w:rsidP="009A23C6">
      <w:pPr>
        <w:spacing w:before="480"/>
      </w:pPr>
    </w:p>
    <w:p w14:paraId="05946EE5" w14:textId="5A425B87" w:rsidR="00037D1E" w:rsidRDefault="00037D1E" w:rsidP="009A23C6">
      <w:pPr>
        <w:spacing w:before="480"/>
      </w:pPr>
    </w:p>
    <w:p w14:paraId="3EBE2947" w14:textId="77777777" w:rsidR="00D03D47" w:rsidRDefault="00D03D47"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64690A0D" w:rsidR="009A23C6" w:rsidRDefault="009A23C6" w:rsidP="009A23C6">
      <w:pPr>
        <w:pStyle w:val="Normale1"/>
        <w:spacing w:line="360" w:lineRule="auto"/>
        <w:ind w:left="720"/>
        <w:jc w:val="both"/>
        <w:rPr>
          <w:rFonts w:ascii="Garamond" w:hAnsi="Garamond"/>
          <w:sz w:val="24"/>
          <w:szCs w:val="24"/>
        </w:rPr>
      </w:pPr>
    </w:p>
    <w:p w14:paraId="2CB38FFB" w14:textId="7FA7624D" w:rsidR="00037D1E" w:rsidRDefault="00037D1E" w:rsidP="009A23C6">
      <w:pPr>
        <w:pStyle w:val="Normale1"/>
        <w:spacing w:line="360" w:lineRule="auto"/>
        <w:ind w:left="720"/>
        <w:jc w:val="both"/>
        <w:rPr>
          <w:rFonts w:ascii="Garamond" w:hAnsi="Garamond"/>
          <w:sz w:val="24"/>
          <w:szCs w:val="24"/>
        </w:rPr>
      </w:pPr>
    </w:p>
    <w:p w14:paraId="5373272C" w14:textId="03B29EED" w:rsidR="00037D1E" w:rsidRDefault="00037D1E" w:rsidP="009A23C6">
      <w:pPr>
        <w:pStyle w:val="Normale1"/>
        <w:spacing w:line="360" w:lineRule="auto"/>
        <w:ind w:left="720"/>
        <w:jc w:val="both"/>
        <w:rPr>
          <w:rFonts w:ascii="Garamond" w:hAnsi="Garamond"/>
          <w:sz w:val="24"/>
          <w:szCs w:val="24"/>
        </w:rPr>
      </w:pPr>
    </w:p>
    <w:p w14:paraId="768798B3" w14:textId="4AFA0A7B" w:rsidR="00037D1E" w:rsidRDefault="00037D1E" w:rsidP="009A23C6">
      <w:pPr>
        <w:pStyle w:val="Normale1"/>
        <w:spacing w:line="360" w:lineRule="auto"/>
        <w:ind w:left="720"/>
        <w:jc w:val="both"/>
        <w:rPr>
          <w:rFonts w:ascii="Garamond" w:hAnsi="Garamond"/>
          <w:sz w:val="24"/>
          <w:szCs w:val="24"/>
        </w:rPr>
      </w:pPr>
    </w:p>
    <w:p w14:paraId="7570E978" w14:textId="07B9AA2A" w:rsidR="00037D1E" w:rsidRDefault="00037D1E" w:rsidP="009A23C6">
      <w:pPr>
        <w:pStyle w:val="Normale1"/>
        <w:spacing w:line="360" w:lineRule="auto"/>
        <w:ind w:left="720"/>
        <w:jc w:val="both"/>
        <w:rPr>
          <w:rFonts w:ascii="Garamond" w:hAnsi="Garamond"/>
          <w:sz w:val="24"/>
          <w:szCs w:val="24"/>
        </w:rPr>
      </w:pPr>
    </w:p>
    <w:p w14:paraId="78C1D39D" w14:textId="3EE01D61" w:rsidR="00037D1E" w:rsidRDefault="00037D1E" w:rsidP="009A23C6">
      <w:pPr>
        <w:pStyle w:val="Normale1"/>
        <w:spacing w:line="360" w:lineRule="auto"/>
        <w:ind w:left="720"/>
        <w:jc w:val="both"/>
        <w:rPr>
          <w:rFonts w:ascii="Garamond" w:hAnsi="Garamond"/>
          <w:sz w:val="24"/>
          <w:szCs w:val="24"/>
        </w:rPr>
      </w:pPr>
    </w:p>
    <w:p w14:paraId="36D3E915" w14:textId="7AA1921B" w:rsidR="00037D1E" w:rsidRDefault="00037D1E" w:rsidP="009A23C6">
      <w:pPr>
        <w:pStyle w:val="Normale1"/>
        <w:spacing w:line="360" w:lineRule="auto"/>
        <w:ind w:left="720"/>
        <w:jc w:val="both"/>
        <w:rPr>
          <w:rFonts w:ascii="Garamond" w:hAnsi="Garamond"/>
          <w:sz w:val="24"/>
          <w:szCs w:val="24"/>
        </w:rPr>
      </w:pPr>
    </w:p>
    <w:p w14:paraId="236F20F4" w14:textId="794FEFF4" w:rsidR="00037D1E" w:rsidRDefault="00037D1E" w:rsidP="009A23C6">
      <w:pPr>
        <w:pStyle w:val="Normale1"/>
        <w:spacing w:line="360" w:lineRule="auto"/>
        <w:ind w:left="720"/>
        <w:jc w:val="both"/>
        <w:rPr>
          <w:rFonts w:ascii="Garamond" w:hAnsi="Garamond"/>
          <w:sz w:val="24"/>
          <w:szCs w:val="24"/>
        </w:rPr>
      </w:pPr>
    </w:p>
    <w:p w14:paraId="0AB55024" w14:textId="68D02927" w:rsidR="00037D1E" w:rsidRDefault="00037D1E" w:rsidP="009A23C6">
      <w:pPr>
        <w:pStyle w:val="Normale1"/>
        <w:spacing w:line="360" w:lineRule="auto"/>
        <w:ind w:left="720"/>
        <w:jc w:val="both"/>
        <w:rPr>
          <w:rFonts w:ascii="Garamond" w:hAnsi="Garamond"/>
          <w:sz w:val="24"/>
          <w:szCs w:val="24"/>
        </w:rPr>
      </w:pPr>
    </w:p>
    <w:p w14:paraId="14C7A03A" w14:textId="495A897E" w:rsidR="00037D1E" w:rsidRDefault="00037D1E" w:rsidP="009A23C6">
      <w:pPr>
        <w:pStyle w:val="Normale1"/>
        <w:spacing w:line="360" w:lineRule="auto"/>
        <w:ind w:left="720"/>
        <w:jc w:val="both"/>
        <w:rPr>
          <w:rFonts w:ascii="Garamond" w:hAnsi="Garamond"/>
          <w:sz w:val="24"/>
          <w:szCs w:val="24"/>
        </w:rPr>
      </w:pPr>
    </w:p>
    <w:p w14:paraId="315977FF" w14:textId="505D4794" w:rsidR="00037D1E" w:rsidRDefault="00037D1E" w:rsidP="009A23C6">
      <w:pPr>
        <w:pStyle w:val="Normale1"/>
        <w:spacing w:line="360" w:lineRule="auto"/>
        <w:ind w:left="720"/>
        <w:jc w:val="both"/>
        <w:rPr>
          <w:rFonts w:ascii="Garamond" w:hAnsi="Garamond"/>
          <w:sz w:val="24"/>
          <w:szCs w:val="24"/>
        </w:rPr>
      </w:pPr>
    </w:p>
    <w:p w14:paraId="258FDFB8" w14:textId="1B865F5A" w:rsidR="00037D1E" w:rsidRDefault="00037D1E" w:rsidP="009A23C6">
      <w:pPr>
        <w:pStyle w:val="Normale1"/>
        <w:spacing w:line="360" w:lineRule="auto"/>
        <w:ind w:left="720"/>
        <w:jc w:val="both"/>
        <w:rPr>
          <w:rFonts w:ascii="Garamond" w:hAnsi="Garamond"/>
          <w:sz w:val="24"/>
          <w:szCs w:val="24"/>
        </w:rPr>
      </w:pPr>
    </w:p>
    <w:p w14:paraId="0D04BA71" w14:textId="77777777" w:rsidR="00037D1E" w:rsidRPr="009A23C6" w:rsidRDefault="00037D1E"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lastRenderedPageBreak/>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lastRenderedPageBreak/>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lastRenderedPageBreak/>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48F228B4" w14:textId="7530F5A6" w:rsidR="002E4492" w:rsidRPr="00E61FDE"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0D105C5B" w14:textId="3A9E6B44" w:rsidR="002E4492" w:rsidRDefault="003A2B14" w:rsidP="002E4492">
      <w:pPr>
        <w:ind w:left="708"/>
      </w:pPr>
      <w:r>
        <w:rPr>
          <w:noProof/>
        </w:rPr>
        <w:drawing>
          <wp:inline distT="0" distB="0" distL="0" distR="0" wp14:anchorId="243D52F2" wp14:editId="262027AA">
            <wp:extent cx="6115050" cy="80486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048625"/>
                    </a:xfrm>
                    <a:prstGeom prst="rect">
                      <a:avLst/>
                    </a:prstGeom>
                    <a:noFill/>
                    <a:ln>
                      <a:noFill/>
                    </a:ln>
                  </pic:spPr>
                </pic:pic>
              </a:graphicData>
            </a:graphic>
          </wp:inline>
        </w:drawing>
      </w:r>
    </w:p>
    <w:p w14:paraId="47B3D62A" w14:textId="77777777" w:rsidR="00A610DE" w:rsidRDefault="00A610DE" w:rsidP="002E4492">
      <w:pPr>
        <w:ind w:left="708"/>
      </w:pPr>
    </w:p>
    <w:p w14:paraId="592BF18F" w14:textId="724CE3D4" w:rsidR="00A610DE" w:rsidRDefault="00A610DE" w:rsidP="002E4492">
      <w:pPr>
        <w:ind w:left="708"/>
      </w:pPr>
    </w:p>
    <w:p w14:paraId="0ACD260B" w14:textId="7B39285E" w:rsidR="00E61FDE" w:rsidRDefault="00E61FDE" w:rsidP="002E4492">
      <w:pPr>
        <w:ind w:left="708"/>
      </w:pPr>
    </w:p>
    <w:p w14:paraId="5ACE9D13" w14:textId="77777777" w:rsidR="00E61FDE" w:rsidRDefault="00E61F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23CB8FCA" w14:textId="1C2D43D3" w:rsidR="002E4492" w:rsidRDefault="003A2B14" w:rsidP="0036015D">
      <w:r>
        <w:rPr>
          <w:noProof/>
        </w:rPr>
        <w:drawing>
          <wp:inline distT="0" distB="0" distL="0" distR="0" wp14:anchorId="3C34C77C" wp14:editId="606BA1DB">
            <wp:extent cx="6120130" cy="492085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20851"/>
                    </a:xfrm>
                    <a:prstGeom prst="rect">
                      <a:avLst/>
                    </a:prstGeom>
                    <a:noFill/>
                    <a:ln>
                      <a:noFill/>
                    </a:ln>
                  </pic:spPr>
                </pic:pic>
              </a:graphicData>
            </a:graphic>
          </wp:inline>
        </w:drawing>
      </w:r>
    </w:p>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w:t>
            </w:r>
            <w:proofErr w:type="spellStart"/>
            <w:r w:rsidR="00175C6D">
              <w:t>key</w:t>
            </w:r>
            <w:proofErr w:type="spellEnd"/>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w:t>
            </w:r>
            <w:proofErr w:type="spellStart"/>
            <w:r>
              <w:rPr>
                <w:rFonts w:ascii="Garamond" w:hAnsi="Garamond"/>
                <w:sz w:val="24"/>
                <w:szCs w:val="24"/>
              </w:rPr>
              <w:t>key</w:t>
            </w:r>
            <w:proofErr w:type="spellEnd"/>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69EE4CB7" w14:textId="0F8FB366" w:rsidR="00172522" w:rsidRDefault="00172522" w:rsidP="00037D1E">
      <w:pPr>
        <w:pStyle w:val="Normale1"/>
        <w:spacing w:after="0" w:line="360" w:lineRule="auto"/>
        <w:jc w:val="both"/>
        <w:rPr>
          <w:rFonts w:ascii="Garamond" w:hAnsi="Garamond"/>
          <w:sz w:val="24"/>
          <w:szCs w:val="24"/>
        </w:rPr>
      </w:pPr>
    </w:p>
    <w:p w14:paraId="16E1F6F2" w14:textId="77777777" w:rsidR="003A2B14" w:rsidRDefault="003A2B14" w:rsidP="00037D1E">
      <w:pPr>
        <w:pStyle w:val="Normale1"/>
        <w:spacing w:after="0" w:line="360" w:lineRule="auto"/>
        <w:jc w:val="both"/>
        <w:rPr>
          <w:rFonts w:ascii="Garamond" w:hAnsi="Garamond"/>
          <w:sz w:val="24"/>
          <w:szCs w:val="24"/>
        </w:rPr>
      </w:pPr>
      <w:bookmarkStart w:id="7" w:name="_GoBack"/>
      <w:bookmarkEnd w:id="7"/>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lastRenderedPageBreak/>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02490FA0" w:rsidR="006F6057" w:rsidRPr="006F6057" w:rsidRDefault="00E61FDE" w:rsidP="006F6057">
      <w:pPr>
        <w:pStyle w:val="Paragrafoelenco"/>
        <w:numPr>
          <w:ilvl w:val="0"/>
          <w:numId w:val="11"/>
        </w:numPr>
        <w:rPr>
          <w:rFonts w:ascii="Garamond" w:hAnsi="Garamond"/>
          <w:b/>
          <w:sz w:val="26"/>
          <w:szCs w:val="26"/>
        </w:rPr>
      </w:pPr>
      <w:r>
        <w:rPr>
          <w:rFonts w:ascii="Century Gothic" w:eastAsia="Century Gothic" w:hAnsi="Century Gothic" w:cs="Century Gothic"/>
          <w:b/>
          <w:bCs/>
          <w:color w:val="2F5496"/>
          <w:sz w:val="40"/>
          <w:szCs w:val="40"/>
        </w:rPr>
        <w:lastRenderedPageBreak/>
        <w:t>Subsystem Services</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DDB6" w14:textId="77777777" w:rsidR="00CA7E19" w:rsidRDefault="00CA7E19" w:rsidP="005310E8">
      <w:pPr>
        <w:spacing w:after="0" w:line="240" w:lineRule="auto"/>
      </w:pPr>
      <w:r>
        <w:separator/>
      </w:r>
    </w:p>
  </w:endnote>
  <w:endnote w:type="continuationSeparator" w:id="0">
    <w:p w14:paraId="4AC24A69" w14:textId="77777777" w:rsidR="00CA7E19" w:rsidRDefault="00CA7E19"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8CBD9" w14:textId="77777777" w:rsidR="00CA7E19" w:rsidRDefault="00CA7E19" w:rsidP="005310E8">
      <w:pPr>
        <w:spacing w:after="0" w:line="240" w:lineRule="auto"/>
      </w:pPr>
      <w:r>
        <w:separator/>
      </w:r>
    </w:p>
  </w:footnote>
  <w:footnote w:type="continuationSeparator" w:id="0">
    <w:p w14:paraId="14443E3E" w14:textId="77777777" w:rsidR="00CA7E19" w:rsidRDefault="00CA7E19"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071"/>
    <w:multiLevelType w:val="hybridMultilevel"/>
    <w:tmpl w:val="50484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8"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46457A99"/>
    <w:multiLevelType w:val="multilevel"/>
    <w:tmpl w:val="3F1C6E9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4"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3"/>
  </w:num>
  <w:num w:numId="4">
    <w:abstractNumId w:val="10"/>
  </w:num>
  <w:num w:numId="5">
    <w:abstractNumId w:val="7"/>
  </w:num>
  <w:num w:numId="6">
    <w:abstractNumId w:val="9"/>
  </w:num>
  <w:num w:numId="7">
    <w:abstractNumId w:val="3"/>
  </w:num>
  <w:num w:numId="8">
    <w:abstractNumId w:val="6"/>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37D1E"/>
    <w:rsid w:val="00041ACE"/>
    <w:rsid w:val="00042E02"/>
    <w:rsid w:val="0007224C"/>
    <w:rsid w:val="000C3455"/>
    <w:rsid w:val="000C36F5"/>
    <w:rsid w:val="000F2ED3"/>
    <w:rsid w:val="001051A1"/>
    <w:rsid w:val="00112201"/>
    <w:rsid w:val="00172522"/>
    <w:rsid w:val="00175C6D"/>
    <w:rsid w:val="001B23CB"/>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A2B14"/>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F6057"/>
    <w:rsid w:val="00700264"/>
    <w:rsid w:val="00716BC8"/>
    <w:rsid w:val="00767886"/>
    <w:rsid w:val="007F6B8C"/>
    <w:rsid w:val="0083525C"/>
    <w:rsid w:val="008362F8"/>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A7E19"/>
    <w:rsid w:val="00CB1D4F"/>
    <w:rsid w:val="00CD1864"/>
    <w:rsid w:val="00D036ED"/>
    <w:rsid w:val="00D03D47"/>
    <w:rsid w:val="00D31342"/>
    <w:rsid w:val="00D41DD0"/>
    <w:rsid w:val="00D968A4"/>
    <w:rsid w:val="00DF617E"/>
    <w:rsid w:val="00E26C58"/>
    <w:rsid w:val="00E432AC"/>
    <w:rsid w:val="00E51F59"/>
    <w:rsid w:val="00E61FDE"/>
    <w:rsid w:val="00E8316C"/>
    <w:rsid w:val="00E90AD8"/>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E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61FD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 w:id="1225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2235</Words>
  <Characters>12745</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Gerardo Donatiello</cp:lastModifiedBy>
  <cp:revision>75</cp:revision>
  <cp:lastPrinted>2019-01-16T14:18:00Z</cp:lastPrinted>
  <dcterms:created xsi:type="dcterms:W3CDTF">2018-12-29T15:15:00Z</dcterms:created>
  <dcterms:modified xsi:type="dcterms:W3CDTF">2019-02-10T15:47:00Z</dcterms:modified>
</cp:coreProperties>
</file>