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F4E79"/>
          <w:sz w:val="52"/>
          <w:szCs w:val="52"/>
        </w:rPr>
        <w:t xml:space="preserve">miCCI</w:t>
      </w:r>
    </w:p>
    <w:p>
      <w:pPr>
        <w:spacing w:after="80"/>
        <w:jc w:val="center"/>
      </w:pPr>
      <w:r>
        <w:rPr>
          <w:rFonts w:ascii="Calibri" w:cs="Calibri" w:eastAsia="Calibri" w:hAnsi="Calibri"/>
          <w:b/>
          <w:bCs/>
          <w:color w:val="2E75B6"/>
          <w:sz w:val="30"/>
          <w:szCs w:val="30"/>
        </w:rPr>
        <w:t xml:space="preserve">Charlson Comorbidity Index from Anonymized ICD-10-GM Codes</w:t>
      </w:r>
    </w:p>
    <w:p>
      <w:pPr>
        <w:spacing w:after="40"/>
        <w:jc w:val="center"/>
      </w:pPr>
      <w:r>
        <w:rPr>
          <w:rFonts w:ascii="Calibri" w:cs="Calibri" w:eastAsia="Calibri" w:hAnsi="Calibri"/>
          <w:i/>
          <w:iCs/>
          <w:color w:val="555555"/>
          <w:sz w:val="22"/>
          <w:szCs w:val="22"/>
        </w:rPr>
        <w:t xml:space="preserve">Scientific Background, Methods, Expected Results, and Challenges</w:t>
      </w:r>
    </w:p>
    <w:p>
      <w:pPr>
        <w:spacing w:after="40"/>
        <w:jc w:val="center"/>
      </w:pPr>
      <w:r>
        <w:rPr>
          <w:rFonts w:ascii="Calibri" w:cs="Calibri" w:eastAsia="Calibri" w:hAnsi="Calibri"/>
          <w:color w:val="777777"/>
          <w:sz w:val="18"/>
          <w:szCs w:val="18"/>
        </w:rPr>
        <w:t xml:space="preserve">Package Version 0.4.3  |  R Package  |  MIT License</w:t>
      </w:r>
    </w:p>
    <w:p>
      <w:pPr>
        <w:spacing w:after="400"/>
        <w:jc w:val="center"/>
      </w:pPr>
      <w:r>
        <w:rPr>
          <w:rFonts w:ascii="Calibri" w:cs="Calibri" w:eastAsia="Calibri" w:hAnsi="Calibri"/>
          <w:i/>
          <w:iCs/>
          <w:color w:val="777777"/>
          <w:sz w:val="18"/>
          <w:szCs w:val="18"/>
        </w:rPr>
        <w:t xml:space="preserve">Gaetan Kamdje Wabo, MSc — Department of Biomedical Informatics, MIISM, Heidelberg University</w:t>
      </w:r>
    </w:p>
    <w:p>
      <w:pPr>
        <w:pBdr>
          <w:bottom w:val="single" w:color="2E75B6" w:sz="6" w:space="1"/>
        </w:pBdr>
        <w:spacing w:after="160"/>
      </w:pPr>
    </w:p>
    <w:p>
      <w:pPr>
        <w:pStyle w:val="Heading1"/>
        <w:spacing w:before="360" w:after="160"/>
      </w:pPr>
      <w:r>
        <w:rPr>
          <w:rFonts w:ascii="Calibri" w:cs="Calibri" w:eastAsia="Calibri" w:hAnsi="Calibri"/>
          <w:b/>
          <w:bCs/>
          <w:color w:val="1F4E79"/>
          <w:sz w:val="28"/>
          <w:szCs w:val="28"/>
        </w:rPr>
        <w:t xml:space="preserve">1. Clinical and Regulatory Context</w:t>
      </w:r>
    </w:p>
    <w:p>
      <w:pPr>
        <w:spacing w:after="160" w:line="276" w:lineRule="auto"/>
        <w:jc w:val="both"/>
      </w:pPr>
      <w:r>
        <w:rPr>
          <w:rFonts w:ascii="Calibri" w:cs="Calibri" w:eastAsia="Calibri" w:hAnsi="Calibri"/>
          <w:sz w:val="22"/>
          <w:szCs w:val="22"/>
        </w:rPr>
        <w:t xml:space="preserve">The </w:t>
      </w:r>
      <w:r>
        <w:rPr>
          <w:rFonts w:ascii="Calibri" w:cs="Calibri" w:eastAsia="Calibri" w:hAnsi="Calibri"/>
          <w:b/>
          <w:bCs/>
          <w:sz w:val="22"/>
          <w:szCs w:val="22"/>
        </w:rPr>
        <w:t xml:space="preserve">Charlson Comorbidity Index (CCI)</w:t>
      </w:r>
      <w:r>
        <w:rPr>
          <w:rFonts w:ascii="Calibri" w:cs="Calibri" w:eastAsia="Calibri" w:hAnsi="Calibri"/>
          <w:sz w:val="22"/>
          <w:szCs w:val="22"/>
        </w:rPr>
        <w:t xml:space="preserve"> is the most widely adopted instrument for quantifying patient comorbidity burden in administrative hospital data. Introduced by Charlson et al. in 1987 and adapted for ICD coding systems by Quan et al. in 2005, it assigns differential numeric weights to 17 chronic conditions — ranging from 1 for myocardial infarction or heart failure to 6 for metastatic malignancy or AIDS — and sums them into a single integer score that predicts short- and long-term mortality, length of hospital stay, and health resource utilization. [1, 2]</w:t>
      </w:r>
    </w:p>
    <w:p>
      <w:pPr>
        <w:spacing w:after="160" w:line="276" w:lineRule="auto"/>
        <w:jc w:val="both"/>
      </w:pPr>
      <w:r>
        <w:rPr>
          <w:rFonts w:ascii="Calibri" w:cs="Calibri" w:eastAsia="Calibri" w:hAnsi="Calibri"/>
          <w:sz w:val="22"/>
          <w:szCs w:val="22"/>
        </w:rPr>
        <w:t xml:space="preserve">Secondary use of German inpatient data faces a structural barrier. Under </w:t>
      </w:r>
      <w:r>
        <w:rPr>
          <w:rFonts w:ascii="Calibri" w:cs="Calibri" w:eastAsia="Calibri" w:hAnsi="Calibri"/>
          <w:b/>
          <w:bCs/>
          <w:sz w:val="22"/>
          <w:szCs w:val="22"/>
        </w:rPr>
        <w:t xml:space="preserve">§21 of the German Hospital Remuneration Act (KHEntgG)</w:t>
      </w:r>
      <w:r>
        <w:rPr>
          <w:rFonts w:ascii="Calibri" w:cs="Calibri" w:eastAsia="Calibri" w:hAnsi="Calibri"/>
          <w:sz w:val="22"/>
          <w:szCs w:val="22"/>
        </w:rPr>
        <w:t xml:space="preserve">, all diagnosis codes must be truncated to their first three characters before transmission to the Institute for Hospital Remuneration (InEK) or release to researchers. [3] A four-digit code such as </w:t>
      </w:r>
      <w:r>
        <w:rPr>
          <w:rFonts w:ascii="Calibri" w:cs="Calibri" w:eastAsia="Calibri" w:hAnsi="Calibri"/>
          <w:i/>
          <w:iCs/>
          <w:sz w:val="22"/>
          <w:szCs w:val="22"/>
        </w:rPr>
        <w:t xml:space="preserve">E11.40</w:t>
      </w:r>
      <w:r>
        <w:rPr>
          <w:rFonts w:ascii="Calibri" w:cs="Calibri" w:eastAsia="Calibri" w:hAnsi="Calibri"/>
          <w:sz w:val="22"/>
          <w:szCs w:val="22"/>
        </w:rPr>
        <w:t xml:space="preserve"> (diabetic nephropathy with proteinuria, mapping to </w:t>
      </w:r>
      <w:r>
        <w:rPr>
          <w:rFonts w:ascii="Calibri" w:cs="Calibri" w:eastAsia="Calibri" w:hAnsi="Calibri"/>
          <w:i/>
          <w:iCs/>
          <w:sz w:val="22"/>
          <w:szCs w:val="22"/>
        </w:rPr>
        <w:t xml:space="preserve">dm_complicated</w:t>
      </w:r>
      <w:r>
        <w:rPr>
          <w:rFonts w:ascii="Calibri" w:cs="Calibri" w:eastAsia="Calibri" w:hAnsi="Calibri"/>
          <w:sz w:val="22"/>
          <w:szCs w:val="22"/>
        </w:rPr>
        <w:t xml:space="preserve">, weight 2) becomes simply </w:t>
      </w:r>
      <w:r>
        <w:rPr>
          <w:rFonts w:ascii="Calibri" w:cs="Calibri" w:eastAsia="Calibri" w:hAnsi="Calibri"/>
          <w:i/>
          <w:iCs/>
          <w:sz w:val="22"/>
          <w:szCs w:val="22"/>
        </w:rPr>
        <w:t xml:space="preserve">E11</w:t>
      </w:r>
      <w:r>
        <w:rPr>
          <w:rFonts w:ascii="Calibri" w:cs="Calibri" w:eastAsia="Calibri" w:hAnsi="Calibri"/>
          <w:sz w:val="22"/>
          <w:szCs w:val="22"/>
        </w:rPr>
        <w:t xml:space="preserve"> — which spans both </w:t>
      </w:r>
      <w:r>
        <w:rPr>
          <w:rFonts w:ascii="Calibri" w:cs="Calibri" w:eastAsia="Calibri" w:hAnsi="Calibri"/>
          <w:i/>
          <w:iCs/>
          <w:sz w:val="22"/>
          <w:szCs w:val="22"/>
        </w:rPr>
        <w:t xml:space="preserve">dm_complicated</w:t>
      </w:r>
      <w:r>
        <w:rPr>
          <w:rFonts w:ascii="Calibri" w:cs="Calibri" w:eastAsia="Calibri" w:hAnsi="Calibri"/>
          <w:sz w:val="22"/>
          <w:szCs w:val="22"/>
        </w:rPr>
        <w:t xml:space="preserve"> (weight 2) and </w:t>
      </w:r>
      <w:r>
        <w:rPr>
          <w:rFonts w:ascii="Calibri" w:cs="Calibri" w:eastAsia="Calibri" w:hAnsi="Calibri"/>
          <w:i/>
          <w:iCs/>
          <w:sz w:val="22"/>
          <w:szCs w:val="22"/>
        </w:rPr>
        <w:t xml:space="preserve">dm_simple</w:t>
      </w:r>
      <w:r>
        <w:rPr>
          <w:rFonts w:ascii="Calibri" w:cs="Calibri" w:eastAsia="Calibri" w:hAnsi="Calibri"/>
          <w:sz w:val="22"/>
          <w:szCs w:val="22"/>
        </w:rPr>
        <w:t xml:space="preserve"> (weight 1) subcodes. Without the fourth character, it is impossible to determine which Charlson group applies, and three critical </w:t>
      </w:r>
      <w:r>
        <w:rPr>
          <w:rFonts w:ascii="Calibri" w:cs="Calibri" w:eastAsia="Calibri" w:hAnsi="Calibri"/>
          <w:i/>
          <w:iCs/>
          <w:sz w:val="22"/>
          <w:szCs w:val="22"/>
        </w:rPr>
        <w:t xml:space="preserve">depends_on</w:t>
      </w:r>
      <w:r>
        <w:rPr>
          <w:rFonts w:ascii="Calibri" w:cs="Calibri" w:eastAsia="Calibri" w:hAnsi="Calibri"/>
          <w:sz w:val="22"/>
          <w:szCs w:val="22"/>
        </w:rPr>
        <w:t xml:space="preserve"> suppression hierarchies (dm_complicated suppresses dm_simple; liver_severe suppresses liver_mild; malignancy_meta suppresses malignancy_nonmeta) cannot be resolved at all.</w:t>
      </w:r>
    </w:p>
    <w:p>
      <w:pPr>
        <w:spacing w:after="160" w:line="276" w:lineRule="auto"/>
        <w:jc w:val="both"/>
      </w:pPr>
      <w:r>
        <w:rPr>
          <w:rFonts w:ascii="Calibri" w:cs="Calibri" w:eastAsia="Calibri" w:hAnsi="Calibri"/>
          <w:sz w:val="22"/>
          <w:szCs w:val="22"/>
        </w:rPr>
        <w:t xml:space="preserve">Approximately 17 million inpatient cases are treated in German hospitals each year. Researchers working with routine hospital data under §21 protections — including health services researchers, epidemiologists, and health economists — either accept systematic CCI underestimation or are unable to use the index altogether. miCCI was developed specifically to close this gap.</w:t>
      </w:r>
    </w:p>
    <w:p>
      <w:pPr>
        <w:pStyle w:val="Heading2"/>
        <w:spacing w:before="240" w:after="120"/>
      </w:pPr>
      <w:r>
        <w:rPr>
          <w:rFonts w:ascii="Calibri" w:cs="Calibri" w:eastAsia="Calibri" w:hAnsi="Calibri"/>
          <w:b/>
          <w:bCs/>
          <w:color w:val="2E75B6"/>
          <w:sz w:val="24"/>
          <w:szCs w:val="24"/>
        </w:rPr>
        <w:t xml:space="preserve">1.1  The Destatis Prior</w:t>
      </w:r>
    </w:p>
    <w:p>
      <w:pPr>
        <w:spacing w:after="160" w:line="276" w:lineRule="auto"/>
        <w:jc w:val="both"/>
      </w:pPr>
      <w:r>
        <w:rPr>
          <w:rFonts w:ascii="Calibri" w:cs="Calibri" w:eastAsia="Calibri" w:hAnsi="Calibri"/>
          <w:sz w:val="22"/>
          <w:szCs w:val="22"/>
        </w:rPr>
        <w:t xml:space="preserve">The key enabling resource is the </w:t>
      </w:r>
      <w:r>
        <w:rPr>
          <w:rFonts w:ascii="Calibri" w:cs="Calibri" w:eastAsia="Calibri" w:hAnsi="Calibri"/>
          <w:b/>
          <w:bCs/>
          <w:sz w:val="22"/>
          <w:szCs w:val="22"/>
        </w:rPr>
        <w:t xml:space="preserve">Destatis hospital diagnosis statistics (Krankenhausdiagnosestatistik 23131-01)</w:t>
      </w:r>
      <w:r>
        <w:rPr>
          <w:rFonts w:ascii="Calibri" w:cs="Calibri" w:eastAsia="Calibri" w:hAnsi="Calibri"/>
          <w:sz w:val="22"/>
          <w:szCs w:val="22"/>
        </w:rPr>
        <w:t xml:space="preserve">, a public dataset from the German Federal Statistical Office reporting the annual count of inpatient cases stratified by full 4-digit ICD-10-GM code, patient sex, and age group for the entire German hospital sector. [4] miCCI downloads this file automatically and uses it to compute the conditional distribution P(subcode | 3-char prefix) for every prefix — the probability that a patient whose anonymized code is </w:t>
      </w:r>
      <w:r>
        <w:rPr>
          <w:rFonts w:ascii="Calibri" w:cs="Calibri" w:eastAsia="Calibri" w:hAnsi="Calibri"/>
          <w:i/>
          <w:iCs/>
          <w:sz w:val="22"/>
          <w:szCs w:val="22"/>
        </w:rPr>
        <w:t xml:space="preserve">E11</w:t>
      </w:r>
      <w:r>
        <w:rPr>
          <w:rFonts w:ascii="Calibri" w:cs="Calibri" w:eastAsia="Calibri" w:hAnsi="Calibri"/>
          <w:sz w:val="22"/>
          <w:szCs w:val="22"/>
        </w:rPr>
        <w:t xml:space="preserve"> actually has subcode </w:t>
      </w:r>
      <w:r>
        <w:rPr>
          <w:rFonts w:ascii="Calibri" w:cs="Calibri" w:eastAsia="Calibri" w:hAnsi="Calibri"/>
          <w:i/>
          <w:iCs/>
          <w:sz w:val="22"/>
          <w:szCs w:val="22"/>
        </w:rPr>
        <w:t xml:space="preserve">E11.4</w:t>
      </w:r>
      <w:r>
        <w:rPr>
          <w:rFonts w:ascii="Calibri" w:cs="Calibri" w:eastAsia="Calibri" w:hAnsi="Calibri"/>
          <w:sz w:val="22"/>
          <w:szCs w:val="22"/>
        </w:rPr>
        <w:t xml:space="preserve"> versus </w:t>
      </w:r>
      <w:r>
        <w:rPr>
          <w:rFonts w:ascii="Calibri" w:cs="Calibri" w:eastAsia="Calibri" w:hAnsi="Calibri"/>
          <w:i/>
          <w:iCs/>
          <w:sz w:val="22"/>
          <w:szCs w:val="22"/>
        </w:rPr>
        <w:t xml:space="preserve">E11.9</w:t>
      </w:r>
      <w:r>
        <w:rPr>
          <w:rFonts w:ascii="Calibri" w:cs="Calibri" w:eastAsia="Calibri" w:hAnsi="Calibri"/>
          <w:sz w:val="22"/>
          <w:szCs w:val="22"/>
        </w:rPr>
        <w:t xml:space="preserve"> or any other variant. This national frequency prior is central to strategies S2, S3, and S4.</w:t>
      </w:r>
    </w:p>
    <w:p>
      <w:pPr>
        <w:pBdr>
          <w:bottom w:val="single" w:color="2E75B6" w:sz="6" w:space="1"/>
        </w:pBdr>
        <w:spacing w:after="160"/>
      </w:pPr>
    </w:p>
    <w:p>
      <w:pPr>
        <w:pStyle w:val="Heading1"/>
        <w:spacing w:before="360" w:after="160"/>
      </w:pPr>
      <w:r>
        <w:rPr>
          <w:rFonts w:ascii="Calibri" w:cs="Calibri" w:eastAsia="Calibri" w:hAnsi="Calibri"/>
          <w:b/>
          <w:bCs/>
          <w:color w:val="1F4E79"/>
          <w:sz w:val="28"/>
          <w:szCs w:val="28"/>
        </w:rPr>
        <w:t xml:space="preserve">2. The Quan et al. (2005) CCI Mapping</w:t>
      </w:r>
    </w:p>
    <w:p>
      <w:pPr>
        <w:spacing w:after="160" w:line="276" w:lineRule="auto"/>
        <w:jc w:val="both"/>
      </w:pPr>
      <w:r>
        <w:rPr>
          <w:rFonts w:ascii="Calibri" w:cs="Calibri" w:eastAsia="Calibri" w:hAnsi="Calibri"/>
          <w:sz w:val="22"/>
          <w:szCs w:val="22"/>
        </w:rPr>
        <w:t xml:space="preserve">The package uses the Quan et al. (2005) ICD-to-Charlson mapping as its reference standard. This validated algorithm defines 17 comorbidity groups, each specified by a list of ICD-10 code patterns, and assigns differential weights based on their prognostic impact. [2] The table below summarizes all 17 groups.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800"/>
        <w:gridCol w:w="3000"/>
      </w:tblGrid>
      <w:tr>
        <w:trPr>
          <w:tblHeader/>
        </w:trPr>
        <w:tc>
          <w:tcPr>
            <w:tcW w:type="dxa" w:w="16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Group key</w:t>
            </w:r>
          </w:p>
        </w:tc>
        <w:tc>
          <w:tcPr>
            <w:tcW w:type="dxa" w:w="24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Condition</w:t>
            </w:r>
          </w:p>
        </w:tc>
        <w:tc>
          <w:tcPr>
            <w:tcW w:type="dxa" w:w="8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Weight</w:t>
            </w:r>
          </w:p>
        </w:tc>
        <w:tc>
          <w:tcPr>
            <w:tcW w:type="dxa" w:w="30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Key codes (examples)</w:t>
            </w:r>
          </w:p>
        </w:tc>
      </w:tr>
      <w:tr>
        <w:trPr>
          <w:tblHeader w:val="false"/>
        </w:trPr>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18"/>
                <w:szCs w:val="18"/>
              </w:rPr>
              <w:t xml:space="preserve">mi</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8"/>
                <w:szCs w:val="18"/>
              </w:rPr>
              <w:t xml:space="preserve">Myocardial infarction</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8"/>
                <w:szCs w:val="18"/>
              </w:rPr>
              <w:t xml:space="preserve">1</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8"/>
                <w:szCs w:val="18"/>
              </w:rPr>
              <w:t xml:space="preserve">I21, I22, I25.2</w:t>
            </w:r>
          </w:p>
        </w:tc>
      </w:tr>
      <w:tr>
        <w:trPr>
          <w:tblHeader w:val="false"/>
        </w:trPr>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18"/>
                <w:szCs w:val="18"/>
              </w:rPr>
              <w:t xml:space="preserve">hf</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8"/>
                <w:szCs w:val="18"/>
              </w:rPr>
              <w:t xml:space="preserve">Heart failure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8"/>
                <w:szCs w:val="18"/>
              </w:rPr>
              <w:t xml:space="preserve">1</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8"/>
                <w:szCs w:val="18"/>
              </w:rPr>
              <w:t xml:space="preserve">I09.9, I11.0, I50</w:t>
            </w:r>
          </w:p>
        </w:tc>
      </w:tr>
      <w:tr>
        <w:trPr>
          <w:tblHeader w:val="false"/>
        </w:trPr>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18"/>
                <w:szCs w:val="18"/>
              </w:rPr>
              <w:t xml:space="preserve">peripheral_vascular</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8"/>
                <w:szCs w:val="18"/>
              </w:rPr>
              <w:t xml:space="preserve">Peripheral vascular disease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8"/>
                <w:szCs w:val="18"/>
              </w:rPr>
              <w:t xml:space="preserve">1</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8"/>
                <w:szCs w:val="18"/>
              </w:rPr>
              <w:t xml:space="preserve">I70, I71, I73.x</w:t>
            </w:r>
          </w:p>
        </w:tc>
      </w:tr>
      <w:tr>
        <w:trPr>
          <w:tblHeader w:val="false"/>
        </w:trPr>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18"/>
                <w:szCs w:val="18"/>
              </w:rPr>
              <w:t xml:space="preserve">cerebrovascular</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8"/>
                <w:szCs w:val="18"/>
              </w:rPr>
              <w:t xml:space="preserve">Cerebrovascular disease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8"/>
                <w:szCs w:val="18"/>
              </w:rPr>
              <w:t xml:space="preserve">1</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8"/>
                <w:szCs w:val="18"/>
              </w:rPr>
              <w:t xml:space="preserve">G45, G46, I60-I69</w:t>
            </w:r>
          </w:p>
        </w:tc>
      </w:tr>
      <w:tr>
        <w:trPr>
          <w:tblHeader w:val="false"/>
        </w:trPr>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18"/>
                <w:szCs w:val="18"/>
              </w:rPr>
              <w:t xml:space="preserve">dementia</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8"/>
                <w:szCs w:val="18"/>
              </w:rPr>
              <w:t xml:space="preserve">Dementia</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8"/>
                <w:szCs w:val="18"/>
              </w:rPr>
              <w:t xml:space="preserve">1</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8"/>
                <w:szCs w:val="18"/>
              </w:rPr>
              <w:t xml:space="preserve">F00-F03, G30</w:t>
            </w:r>
          </w:p>
        </w:tc>
      </w:tr>
      <w:tr>
        <w:trPr>
          <w:tblHeader w:val="false"/>
        </w:trPr>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18"/>
                <w:szCs w:val="18"/>
              </w:rPr>
              <w:t xml:space="preserve">pulmo</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8"/>
                <w:szCs w:val="18"/>
              </w:rPr>
              <w:t xml:space="preserve">Chronic pulmonary disease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8"/>
                <w:szCs w:val="18"/>
              </w:rPr>
              <w:t xml:space="preserve">1</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8"/>
                <w:szCs w:val="18"/>
              </w:rPr>
              <w:t xml:space="preserve">J40-J47, J60-J67</w:t>
            </w:r>
          </w:p>
        </w:tc>
      </w:tr>
      <w:tr>
        <w:trPr>
          <w:tblHeader w:val="false"/>
        </w:trPr>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18"/>
                <w:szCs w:val="18"/>
              </w:rPr>
              <w:t xml:space="preserve">rheumatic</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8"/>
                <w:szCs w:val="18"/>
              </w:rPr>
              <w:t xml:space="preserve">Rheumatic disease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8"/>
                <w:szCs w:val="18"/>
              </w:rPr>
              <w:t xml:space="preserve">1</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8"/>
                <w:szCs w:val="18"/>
              </w:rPr>
              <w:t xml:space="preserve">M05, M06, M31.5-M36</w:t>
            </w:r>
          </w:p>
        </w:tc>
      </w:tr>
      <w:tr>
        <w:trPr>
          <w:tblHeader w:val="false"/>
        </w:trPr>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18"/>
                <w:szCs w:val="18"/>
              </w:rPr>
              <w:t xml:space="preserve">peptic_ulcer</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8"/>
                <w:szCs w:val="18"/>
              </w:rPr>
              <w:t xml:space="preserve">Peptic ulcer disease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8"/>
                <w:szCs w:val="18"/>
              </w:rPr>
              <w:t xml:space="preserve">1</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8"/>
                <w:szCs w:val="18"/>
              </w:rPr>
              <w:t xml:space="preserve">K25-K28</w:t>
            </w:r>
          </w:p>
        </w:tc>
      </w:tr>
      <w:tr>
        <w:trPr>
          <w:tblHeader w:val="false"/>
        </w:trPr>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18"/>
                <w:szCs w:val="18"/>
              </w:rPr>
              <w:t xml:space="preserve">liver_mild</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8"/>
                <w:szCs w:val="18"/>
              </w:rPr>
              <w:t xml:space="preserve">Mild liver disease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8"/>
                <w:szCs w:val="18"/>
              </w:rPr>
              <w:t xml:space="preserve">1 (see note)</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8"/>
                <w:szCs w:val="18"/>
              </w:rPr>
              <w:t xml:space="preserve">B18, K70.0-K70.3, K73, K74</w:t>
            </w:r>
          </w:p>
        </w:tc>
      </w:tr>
      <w:tr>
        <w:trPr>
          <w:tblHeader w:val="false"/>
        </w:trPr>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18"/>
                <w:szCs w:val="18"/>
              </w:rPr>
              <w:t xml:space="preserve">dm_simple</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8"/>
                <w:szCs w:val="18"/>
              </w:rPr>
              <w:t xml:space="preserve">Diabetes without complication</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8"/>
                <w:szCs w:val="18"/>
              </w:rPr>
              <w:t xml:space="preserve">1 (see note)</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8"/>
                <w:szCs w:val="18"/>
              </w:rPr>
              <w:t xml:space="preserve">E10.0, E11.0, E11.9</w:t>
            </w:r>
          </w:p>
        </w:tc>
      </w:tr>
      <w:tr>
        <w:trPr>
          <w:tblHeader w:val="false"/>
        </w:trPr>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18"/>
                <w:szCs w:val="18"/>
              </w:rPr>
              <w:t xml:space="preserve">dm_complicated</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8"/>
                <w:szCs w:val="18"/>
              </w:rPr>
              <w:t xml:space="preserve">Diabetes with end-organ damage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8"/>
                <w:szCs w:val="18"/>
              </w:rPr>
              <w:t xml:space="preserve">2</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8"/>
                <w:szCs w:val="18"/>
              </w:rPr>
              <w:t xml:space="preserve">E10.2-E10.7, E11.2-E11.7</w:t>
            </w:r>
          </w:p>
        </w:tc>
      </w:tr>
      <w:tr>
        <w:trPr>
          <w:tblHeader w:val="false"/>
        </w:trPr>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18"/>
                <w:szCs w:val="18"/>
              </w:rPr>
              <w:t xml:space="preserve">plegia</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8"/>
                <w:szCs w:val="18"/>
              </w:rPr>
              <w:t xml:space="preserve">Hemiplegia or paraplegia</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8"/>
                <w:szCs w:val="18"/>
              </w:rPr>
              <w:t xml:space="preserve">2</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8"/>
                <w:szCs w:val="18"/>
              </w:rPr>
              <w:t xml:space="preserve">G81, G82, G83</w:t>
            </w:r>
          </w:p>
        </w:tc>
      </w:tr>
      <w:tr>
        <w:trPr>
          <w:tblHeader w:val="false"/>
        </w:trPr>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18"/>
                <w:szCs w:val="18"/>
              </w:rPr>
              <w:t xml:space="preserve">kidney</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8"/>
                <w:szCs w:val="18"/>
              </w:rPr>
              <w:t xml:space="preserve">Moderate/severe kidney disease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8"/>
                <w:szCs w:val="18"/>
              </w:rPr>
              <w:t xml:space="preserve">2</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8"/>
                <w:szCs w:val="18"/>
              </w:rPr>
              <w:t xml:space="preserve">N03, N05, N18, N19, Z94.0</w:t>
            </w:r>
          </w:p>
        </w:tc>
      </w:tr>
      <w:tr>
        <w:trPr>
          <w:tblHeader w:val="false"/>
        </w:trPr>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18"/>
                <w:szCs w:val="18"/>
              </w:rPr>
              <w:t xml:space="preserve">malignancy_nonmeta</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8"/>
                <w:szCs w:val="18"/>
              </w:rPr>
              <w:t xml:space="preserve">Non-metastatic malignancy</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8"/>
                <w:szCs w:val="18"/>
              </w:rPr>
              <w:t xml:space="preserve">2 (see note)</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8"/>
                <w:szCs w:val="18"/>
              </w:rPr>
              <w:t xml:space="preserve">C00-C76, C81-C97</w:t>
            </w:r>
          </w:p>
        </w:tc>
      </w:tr>
      <w:tr>
        <w:trPr>
          <w:tblHeader w:val="false"/>
        </w:trPr>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18"/>
                <w:szCs w:val="18"/>
              </w:rPr>
              <w:t xml:space="preserve">liver_severe</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8"/>
                <w:szCs w:val="18"/>
              </w:rPr>
              <w:t xml:space="preserve">Severe liver disease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8"/>
                <w:szCs w:val="18"/>
              </w:rPr>
              <w:t xml:space="preserve">3</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8"/>
                <w:szCs w:val="18"/>
              </w:rPr>
              <w:t xml:space="preserve">K70.4, K71.1, K72.x, I85</w:t>
            </w:r>
          </w:p>
        </w:tc>
      </w:tr>
      <w:tr>
        <w:trPr>
          <w:tblHeader w:val="false"/>
        </w:trPr>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18"/>
                <w:szCs w:val="18"/>
              </w:rPr>
              <w:t xml:space="preserve">malignancy_meta</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8"/>
                <w:szCs w:val="18"/>
              </w:rPr>
              <w:t xml:space="preserve">Metastatic malignancy</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8"/>
                <w:szCs w:val="18"/>
              </w:rPr>
              <w:t xml:space="preserve">6</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8"/>
                <w:szCs w:val="18"/>
              </w:rPr>
              <w:t xml:space="preserve">C77-C80</w:t>
            </w:r>
          </w:p>
        </w:tc>
      </w:tr>
      <w:tr>
        <w:trPr>
          <w:tblHeader w:val="false"/>
        </w:trPr>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18"/>
                <w:szCs w:val="18"/>
              </w:rPr>
              <w:t xml:space="preserve">aids</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8"/>
                <w:szCs w:val="18"/>
              </w:rPr>
              <w:t xml:space="preserve">AIDS / HIV disease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8"/>
                <w:szCs w:val="18"/>
              </w:rPr>
              <w:t xml:space="preserve">6</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8"/>
                <w:szCs w:val="18"/>
              </w:rPr>
              <w:t xml:space="preserve">B20-B22, B24</w:t>
            </w:r>
          </w:p>
        </w:tc>
      </w:tr>
    </w:tbl>
    <w:p>
      <w:pPr>
        <w:spacing w:after="160"/>
      </w:pPr>
      <w:r>
        <w:rPr>
          <w:rFonts w:ascii="Calibri" w:cs="Calibri" w:eastAsia="Calibri" w:hAnsi="Calibri"/>
          <w:i/>
          <w:iCs/>
          <w:sz w:val="18"/>
          <w:szCs w:val="18"/>
        </w:rPr>
        <w:t xml:space="preserve">Note: depends_on suppression applies: dm_complicated suppresses dm_simple; liver_severe suppresses liver_mild; malignancy_meta suppresses malignancy_nonmeta.</w:t>
      </w:r>
    </w:p>
    <w:p>
      <w:pPr>
        <w:pBdr>
          <w:bottom w:val="single" w:color="2E75B6" w:sz="6" w:space="1"/>
        </w:pBdr>
        <w:spacing w:after="160"/>
      </w:pPr>
    </w:p>
    <w:p>
      <w:pPr>
        <w:pStyle w:val="Heading1"/>
        <w:spacing w:before="360" w:after="160"/>
      </w:pPr>
      <w:r>
        <w:rPr>
          <w:rFonts w:ascii="Calibri" w:cs="Calibri" w:eastAsia="Calibri" w:hAnsi="Calibri"/>
          <w:b/>
          <w:bCs/>
          <w:color w:val="1F4E79"/>
          <w:sz w:val="28"/>
          <w:szCs w:val="28"/>
        </w:rPr>
        <w:t xml:space="preserve">3. Scientific Methods: The Six Computational Strategies</w:t>
      </w:r>
    </w:p>
    <w:p>
      <w:pPr>
        <w:spacing w:after="160" w:line="276" w:lineRule="auto"/>
        <w:jc w:val="both"/>
      </w:pPr>
      <w:r>
        <w:rPr>
          <w:rFonts w:ascii="Calibri" w:cs="Calibri" w:eastAsia="Calibri" w:hAnsi="Calibri"/>
          <w:sz w:val="22"/>
          <w:szCs w:val="22"/>
        </w:rPr>
        <w:t xml:space="preserve">Each strategy targets the same underlying problem — estimating the CCI from an anonymized 3-character ICD code string — but differs in the information it uses, the statistical assumptions it makes, and the computational resources it requires. The strategies are designed to be used independently or in combination (via the S6 ensemble).</w:t>
      </w:r>
    </w:p>
    <w:p>
      <w:pPr>
        <w:pStyle w:val="Heading2"/>
        <w:spacing w:before="240" w:after="120"/>
      </w:pPr>
      <w:r>
        <w:rPr>
          <w:rFonts w:ascii="Calibri" w:cs="Calibri" w:eastAsia="Calibri" w:hAnsi="Calibri"/>
          <w:b/>
          <w:bCs/>
          <w:color w:val="2E75B6"/>
          <w:sz w:val="24"/>
          <w:szCs w:val="24"/>
        </w:rPr>
        <w:t xml:space="preserve">3.1  S1: Deterministic Interval Estimator</w:t>
      </w:r>
    </w:p>
    <w:p>
      <w:pPr>
        <w:spacing w:after="160" w:line="276" w:lineRule="auto"/>
        <w:jc w:val="both"/>
      </w:pPr>
      <w:r>
        <w:rPr>
          <w:rFonts w:ascii="Calibri" w:cs="Calibri" w:eastAsia="Calibri" w:hAnsi="Calibri"/>
          <w:sz w:val="22"/>
          <w:szCs w:val="22"/>
        </w:rPr>
        <w:t xml:space="preserve">S1 requires neither external frequency data nor a training cohort. For each 3-character prefix in an encounter, the strategy asks a binary question: do </w:t>
      </w:r>
      <w:r>
        <w:rPr>
          <w:rFonts w:ascii="Calibri" w:cs="Calibri" w:eastAsia="Calibri" w:hAnsi="Calibri"/>
          <w:i/>
          <w:iCs/>
          <w:sz w:val="22"/>
          <w:szCs w:val="22"/>
        </w:rPr>
        <w:t xml:space="preserve">all</w:t>
      </w:r>
      <w:r>
        <w:rPr>
          <w:rFonts w:ascii="Calibri" w:cs="Calibri" w:eastAsia="Calibri" w:hAnsi="Calibri"/>
          <w:sz w:val="22"/>
          <w:szCs w:val="22"/>
        </w:rPr>
        <w:t xml:space="preserve"> 4-digit subcodes of this prefix map to the same Charlson group, or only </w:t>
      </w:r>
      <w:r>
        <w:rPr>
          <w:rFonts w:ascii="Calibri" w:cs="Calibri" w:eastAsia="Calibri" w:hAnsi="Calibri"/>
          <w:i/>
          <w:iCs/>
          <w:sz w:val="22"/>
          <w:szCs w:val="22"/>
        </w:rPr>
        <w:t xml:space="preserve">some</w:t>
      </w:r>
      <w:r>
        <w:rPr>
          <w:rFonts w:ascii="Calibri" w:cs="Calibri" w:eastAsia="Calibri" w:hAnsi="Calibri"/>
          <w:sz w:val="22"/>
          <w:szCs w:val="22"/>
        </w:rPr>
        <w:t xml:space="preserve">? If all subcodes map to the same group, the group is </w:t>
      </w:r>
      <w:r>
        <w:rPr>
          <w:rFonts w:ascii="Calibri" w:cs="Calibri" w:eastAsia="Calibri" w:hAnsi="Calibri"/>
          <w:b/>
          <w:bCs/>
          <w:sz w:val="22"/>
          <w:szCs w:val="22"/>
        </w:rPr>
        <w:t xml:space="preserve">certain</w:t>
      </w:r>
      <w:r>
        <w:rPr>
          <w:rFonts w:ascii="Calibri" w:cs="Calibri" w:eastAsia="Calibri" w:hAnsi="Calibri"/>
          <w:sz w:val="22"/>
          <w:szCs w:val="22"/>
        </w:rPr>
        <w:t xml:space="preserve">. If only a subset do, it is </w:t>
      </w:r>
      <w:r>
        <w:rPr>
          <w:rFonts w:ascii="Calibri" w:cs="Calibri" w:eastAsia="Calibri" w:hAnsi="Calibri"/>
          <w:b/>
          <w:bCs/>
          <w:sz w:val="22"/>
          <w:szCs w:val="22"/>
        </w:rPr>
        <w:t xml:space="preserve">possible</w:t>
      </w:r>
      <w:r>
        <w:rPr>
          <w:rFonts w:ascii="Calibri" w:cs="Calibri" w:eastAsia="Calibri" w:hAnsi="Calibri"/>
          <w:sz w:val="22"/>
          <w:szCs w:val="22"/>
        </w:rPr>
        <w:t xml:space="preserve">. The minimum CCI (CCI</w:t>
      </w:r>
      <w:r>
        <w:rPr>
          <w:rFonts w:ascii="Calibri" w:cs="Calibri" w:eastAsia="Calibri" w:hAnsi="Calibri"/>
          <w:sz w:val="22"/>
          <w:szCs w:val="22"/>
          <w:vertAlign w:val="subscript"/>
        </w:rPr>
        <w:t xml:space="preserve">min</w:t>
      </w:r>
      <w:r>
        <w:rPr>
          <w:rFonts w:ascii="Calibri" w:cs="Calibri" w:eastAsia="Calibri" w:hAnsi="Calibri"/>
          <w:sz w:val="22"/>
          <w:szCs w:val="22"/>
        </w:rPr>
        <w:t xml:space="preserve">) sums weights for all certain groups after applying depends_on suppression. The maximum CCI (CCI</w:t>
      </w:r>
      <w:r>
        <w:rPr>
          <w:rFonts w:ascii="Calibri" w:cs="Calibri" w:eastAsia="Calibri" w:hAnsi="Calibri"/>
          <w:sz w:val="22"/>
          <w:szCs w:val="22"/>
          <w:vertAlign w:val="subscript"/>
        </w:rPr>
        <w:t xml:space="preserve">max</w:t>
      </w:r>
      <w:r>
        <w:rPr>
          <w:rFonts w:ascii="Calibri" w:cs="Calibri" w:eastAsia="Calibri" w:hAnsi="Calibri"/>
          <w:sz w:val="22"/>
          <w:szCs w:val="22"/>
        </w:rPr>
        <w:t xml:space="preserve">) sums all certain and possible groups without suppression. The point estimate is their midpoint. S1 is the only strategy that produces a certified uncertainty interval; its empirical coverage on the 144,660-patient validation cohort was 95.1%.</w:t>
      </w:r>
    </w:p>
    <w:p>
      <w:pPr>
        <w:pStyle w:val="Heading2"/>
        <w:spacing w:before="240" w:after="120"/>
      </w:pPr>
      <w:r>
        <w:rPr>
          <w:rFonts w:ascii="Calibri" w:cs="Calibri" w:eastAsia="Calibri" w:hAnsi="Calibri"/>
          <w:b/>
          <w:bCs/>
          <w:color w:val="2E75B6"/>
          <w:sz w:val="24"/>
          <w:szCs w:val="24"/>
        </w:rPr>
        <w:t xml:space="preserve">3.2  S2: Probabilistic Expected-Value Estimator</w:t>
      </w:r>
    </w:p>
    <w:p>
      <w:pPr>
        <w:spacing w:after="160" w:line="276" w:lineRule="auto"/>
        <w:jc w:val="both"/>
      </w:pPr>
      <w:r>
        <w:rPr>
          <w:rFonts w:ascii="Calibri" w:cs="Calibri" w:eastAsia="Calibri" w:hAnsi="Calibri"/>
          <w:sz w:val="22"/>
          <w:szCs w:val="22"/>
        </w:rPr>
        <w:t xml:space="preserve">S2 replaces the binary certain/possible classification with continuous probability weights. For each 3-character prefix and each Charlson group, it computes P(group | prefix) = sum of Destatis marginal probabilities over all subcodes of that prefix that map to the given group. The expected CCI contribution of each group is P(group | prefix) × weight(group). The approach is fully deterministic — no random draws — and runs in seconds. It offers a strong accuracy-to-speed tradeoff (validation MAE = 0.237).</w:t>
      </w:r>
    </w:p>
    <w:p>
      <w:pPr>
        <w:pStyle w:val="Heading2"/>
        <w:spacing w:before="240" w:after="120"/>
      </w:pPr>
      <w:r>
        <w:rPr>
          <w:rFonts w:ascii="Calibri" w:cs="Calibri" w:eastAsia="Calibri" w:hAnsi="Calibri"/>
          <w:b/>
          <w:bCs/>
          <w:color w:val="2E75B6"/>
          <w:sz w:val="24"/>
          <w:szCs w:val="24"/>
        </w:rPr>
        <w:t xml:space="preserve">3.3  S3: Multiple Imputation (MI-CCI) — Recommended Default</w:t>
      </w:r>
    </w:p>
    <w:p>
      <w:pPr>
        <w:spacing w:after="160" w:line="276" w:lineRule="auto"/>
        <w:jc w:val="both"/>
      </w:pPr>
      <w:r>
        <w:rPr>
          <w:rFonts w:ascii="Calibri" w:cs="Calibri" w:eastAsia="Calibri" w:hAnsi="Calibri"/>
          <w:sz w:val="22"/>
          <w:szCs w:val="22"/>
        </w:rPr>
        <w:t xml:space="preserve">S3 formalizes truncation as a </w:t>
      </w:r>
      <w:r>
        <w:rPr>
          <w:rFonts w:ascii="Calibri" w:cs="Calibri" w:eastAsia="Calibri" w:hAnsi="Calibri"/>
          <w:b/>
          <w:bCs/>
          <w:sz w:val="22"/>
          <w:szCs w:val="22"/>
        </w:rPr>
        <w:t xml:space="preserve">Missing At Random (MAR)</w:t>
      </w:r>
      <w:r>
        <w:rPr>
          <w:rFonts w:ascii="Calibri" w:cs="Calibri" w:eastAsia="Calibri" w:hAnsi="Calibri"/>
          <w:sz w:val="22"/>
          <w:szCs w:val="22"/>
        </w:rPr>
        <w:t xml:space="preserve"> problem. The true 4-digit subcode is treated as a missing variable, and each 3-character prefix provides the missing-data model: the Destatis marginal distribution P(subcode | prefix). For each of m=20 imputation rounds, one subcode is drawn independently per prefix, a complete 4-digit diagnosis string is reconstructed, and the gold-standard CCI algorithm is applied — including full depends_on suppression. The final estimate is the arithmetic mean across all 20 imputed CCI values (Rubin's Rules for a scalar estimand). [5, 6] S3 achieved the best RMSE of 0.347 in the validation cohort, with perfect temporal stability (ΔMAE = -0.005 from training to validation).</w:t>
      </w:r>
    </w:p>
    <w:p>
      <w:pPr>
        <w:pStyle w:val="Heading2"/>
        <w:spacing w:before="240" w:after="120"/>
      </w:pPr>
      <w:r>
        <w:rPr>
          <w:rFonts w:ascii="Calibri" w:cs="Calibri" w:eastAsia="Calibri" w:hAnsi="Calibri"/>
          <w:b/>
          <w:bCs/>
          <w:color w:val="2E75B6"/>
          <w:sz w:val="24"/>
          <w:szCs w:val="24"/>
        </w:rPr>
        <w:t xml:space="preserve">3.4  S4: Bayesian Dirichlet Estimator</w:t>
      </w:r>
    </w:p>
    <w:p>
      <w:pPr>
        <w:spacing w:after="160" w:line="276" w:lineRule="auto"/>
        <w:jc w:val="both"/>
      </w:pPr>
      <w:r>
        <w:rPr>
          <w:rFonts w:ascii="Calibri" w:cs="Calibri" w:eastAsia="Calibri" w:hAnsi="Calibri"/>
          <w:sz w:val="22"/>
          <w:szCs w:val="22"/>
        </w:rPr>
        <w:t xml:space="preserve">S4 extends S3 by replacing the empirical Destatis distribution with a conjugate Bayesian posterior. For each prefix with K subcodes, the concentration parameters are set to α</w:t>
      </w:r>
      <w:r>
        <w:rPr>
          <w:rFonts w:ascii="Calibri" w:cs="Calibri" w:eastAsia="Calibri" w:hAnsi="Calibri"/>
          <w:sz w:val="22"/>
          <w:szCs w:val="22"/>
          <w:vertAlign w:val="subscript"/>
        </w:rPr>
        <w:t xml:space="preserve">k</w:t>
      </w:r>
      <w:r>
        <w:rPr>
          <w:rFonts w:ascii="Calibri" w:cs="Calibri" w:eastAsia="Calibri" w:hAnsi="Calibri"/>
          <w:sz w:val="22"/>
          <w:szCs w:val="22"/>
        </w:rPr>
        <w:t xml:space="preserve"> = 10 × P(subcode | prefix) + 0.5, where the factor 10 reflects moderate prior confidence and 0.5 provides Jeffreys-type regularization. Posterior samples are drawn from the Dirichlet via the Gamma representation (θ = G / ΣG where G</w:t>
      </w:r>
      <w:r>
        <w:rPr>
          <w:rFonts w:ascii="Calibri" w:cs="Calibri" w:eastAsia="Calibri" w:hAnsi="Calibri"/>
          <w:sz w:val="22"/>
          <w:szCs w:val="22"/>
          <w:vertAlign w:val="subscript"/>
        </w:rPr>
        <w:t xml:space="preserve">k</w:t>
      </w:r>
      <w:r>
        <w:rPr>
          <w:rFonts w:ascii="Calibri" w:cs="Calibri" w:eastAsia="Calibri" w:hAnsi="Calibri"/>
          <w:sz w:val="22"/>
          <w:szCs w:val="22"/>
        </w:rPr>
        <w:t xml:space="preserve"> ~ Gamma(α</w:t>
      </w:r>
      <w:r>
        <w:rPr>
          <w:rFonts w:ascii="Calibri" w:cs="Calibri" w:eastAsia="Calibri" w:hAnsi="Calibri"/>
          <w:sz w:val="22"/>
          <w:szCs w:val="22"/>
          <w:vertAlign w:val="subscript"/>
        </w:rPr>
        <w:t xml:space="preserve">k</w:t>
      </w:r>
      <w:r>
        <w:rPr>
          <w:rFonts w:ascii="Calibri" w:cs="Calibri" w:eastAsia="Calibri" w:hAnsi="Calibri"/>
          <w:sz w:val="22"/>
          <w:szCs w:val="22"/>
        </w:rPr>
        <w:t xml:space="preserve">, 1)). The point estimate is the posterior median across n=25 draws. S4 achieves slightly better MAE than S3 (0.135 vs. 0.136) but higher RMSE (0.403 vs. 0.347) due to prior-domination effects on rare subcodes. Its main advantage is producing a full draw matrix for downstream Bayesian analyses.</w:t>
      </w:r>
    </w:p>
    <w:p>
      <w:pPr>
        <w:pStyle w:val="Heading2"/>
        <w:spacing w:before="240" w:after="120"/>
      </w:pPr>
      <w:r>
        <w:rPr>
          <w:rFonts w:ascii="Calibri" w:cs="Calibri" w:eastAsia="Calibri" w:hAnsi="Calibri"/>
          <w:b/>
          <w:bCs/>
          <w:color w:val="2E75B6"/>
          <w:sz w:val="24"/>
          <w:szCs w:val="24"/>
        </w:rPr>
        <w:t xml:space="preserve">3.5  S5: XGBoost Machine Learning Estimator</w:t>
      </w:r>
    </w:p>
    <w:p>
      <w:pPr>
        <w:spacing w:after="160" w:line="276" w:lineRule="auto"/>
        <w:jc w:val="both"/>
      </w:pPr>
      <w:r>
        <w:rPr>
          <w:rFonts w:ascii="Calibri" w:cs="Calibri" w:eastAsia="Calibri" w:hAnsi="Calibri"/>
          <w:sz w:val="22"/>
          <w:szCs w:val="22"/>
        </w:rPr>
        <w:t xml:space="preserve">S5 trains an XGBoost gradient boosting regressor directly on gold-standard CCI labels from the training cohort. [7] Features include binary 3-character ICD indicator columns, patient age, diagnosis count, and length-of-stay decile. Isotonic regression calibration on the 2019 calibration set corrects systematic bias. S5 captures coding co-occurrence patterns that the probabilistic strategies cannot — its 9% NNLS weight in S6 despite high standalone MAE (0.509) confirms it contributes independent signal. However, S5 degrades across temporal boundaries: its MAE increased by +0.078 from training to validation (2020-2024), reflecting ICD coding drift across the COVID-19 pandemic. S5 should therefore be used with caution in cross-institutional or cross-temporal settings.</w:t>
      </w:r>
    </w:p>
    <w:p>
      <w:pPr>
        <w:pStyle w:val="Heading2"/>
        <w:spacing w:before="240" w:after="120"/>
      </w:pPr>
      <w:r>
        <w:rPr>
          <w:rFonts w:ascii="Calibri" w:cs="Calibri" w:eastAsia="Calibri" w:hAnsi="Calibri"/>
          <w:b/>
          <w:bCs/>
          <w:color w:val="2E75B6"/>
          <w:sz w:val="24"/>
          <w:szCs w:val="24"/>
        </w:rPr>
        <w:t xml:space="preserve">3.6  S6: NNLS Ensemble Meta-Learner</w:t>
      </w:r>
    </w:p>
    <w:p>
      <w:pPr>
        <w:spacing w:after="160" w:line="276" w:lineRule="auto"/>
        <w:jc w:val="both"/>
      </w:pPr>
      <w:r>
        <w:rPr>
          <w:rFonts w:ascii="Calibri" w:cs="Calibri" w:eastAsia="Calibri" w:hAnsi="Calibri"/>
          <w:sz w:val="22"/>
          <w:szCs w:val="22"/>
        </w:rPr>
        <w:t xml:space="preserve">S6 combines S1-S5 predictions using Non-Negative Least Squares. [8] Weights are estimated on the 2019 calibration set by minimizing ||y - Xβ||₂ subject to β ≥ 0, then normalized to sum to 1. The fitted weights on the UMM dataset were: S3=0.845, S5=0.090, S1=0.064, S2=0.000, S4=0.000. S4 received zero weight due to near-perfect collinearity with S3; both draw from identical Destatis distributions. S2 was also zero-weighted, being a deterministic transformation of the S3 input. S6 attained the best R² of 0.974 in the validation cohort. Importantly, S6 is only as good as its inputs — it requires a dedicated calibration cohort and all five constituent predictions. Trying to use S6 without S1-S5 output is not possible.</w:t>
      </w:r>
    </w:p>
    <w:p>
      <w:pPr>
        <w:pBdr>
          <w:bottom w:val="single" w:color="2E75B6" w:sz="6" w:space="1"/>
        </w:pBdr>
        <w:spacing w:after="160"/>
      </w:pPr>
    </w:p>
    <w:p>
      <w:pPr>
        <w:pStyle w:val="Heading1"/>
        <w:spacing w:before="360" w:after="160"/>
      </w:pPr>
      <w:r>
        <w:rPr>
          <w:rFonts w:ascii="Calibri" w:cs="Calibri" w:eastAsia="Calibri" w:hAnsi="Calibri"/>
          <w:b/>
          <w:bCs/>
          <w:color w:val="1F4E79"/>
          <w:sz w:val="28"/>
          <w:szCs w:val="28"/>
        </w:rPr>
        <w:t xml:space="preserve">4. Validation Results</w:t>
      </w:r>
    </w:p>
    <w:p>
      <w:pPr>
        <w:spacing w:after="160" w:line="276" w:lineRule="auto"/>
        <w:jc w:val="both"/>
      </w:pPr>
      <w:r>
        <w:rPr>
          <w:rFonts w:ascii="Calibri" w:cs="Calibri" w:eastAsia="Calibri" w:hAnsi="Calibri"/>
          <w:sz w:val="22"/>
          <w:szCs w:val="22"/>
        </w:rPr>
        <w:t xml:space="preserve">All six strategies were validated on 507,949 pseudonymized inpatient encounters from Universitätsmedizin Mannheim (2010-2024), split temporally into training (2010-2018; n=331,391), calibration (2019; n=31,898), and prospective validation (2020-2024; n=144,660) cohorts.</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900"/>
        <w:gridCol w:w="900"/>
        <w:gridCol w:w="1200"/>
        <w:gridCol w:w="1200"/>
      </w:tblGrid>
      <w:tr>
        <w:trPr>
          <w:tblHeader/>
        </w:trPr>
        <w:tc>
          <w:tcPr>
            <w:tcW w:type="dxa" w:w="17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Strategy</w:t>
            </w:r>
          </w:p>
        </w:tc>
        <w:tc>
          <w:tcPr>
            <w:tcW w:type="dxa" w:w="9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Val MAE</w:t>
            </w:r>
          </w:p>
        </w:tc>
        <w:tc>
          <w:tcPr>
            <w:tcW w:type="dxa" w:w="9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Val RMSE</w:t>
            </w:r>
          </w:p>
        </w:tc>
        <w:tc>
          <w:tcPr>
            <w:tcW w:type="dxa" w:w="9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Val R²</w:t>
            </w:r>
          </w:p>
        </w:tc>
        <w:tc>
          <w:tcPr>
            <w:tcW w:type="dxa" w:w="12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ΔMAE (drift)</w:t>
            </w:r>
          </w:p>
        </w:tc>
        <w:tc>
          <w:tcPr>
            <w:tcW w:type="dxa" w:w="12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Notes</w:t>
            </w:r>
          </w:p>
        </w:tc>
      </w:tr>
      <w:tr>
        <w:trPr>
          <w:tblHeader w:val="false"/>
        </w:trP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18"/>
                <w:szCs w:val="18"/>
              </w:rPr>
              <w:t xml:space="preserve">S1 Interval</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8"/>
                <w:szCs w:val="18"/>
              </w:rPr>
              <w:t xml:space="preserve">0.367</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8"/>
                <w:szCs w:val="18"/>
              </w:rPr>
              <w:t xml:space="preserve">0.706</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8"/>
                <w:szCs w:val="18"/>
              </w:rPr>
              <w:t xml:space="preserve">0.887</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8"/>
                <w:szCs w:val="18"/>
              </w:rPr>
              <w:t xml:space="preserve">+0.007</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8"/>
                <w:szCs w:val="18"/>
              </w:rPr>
              <w:t xml:space="preserve">95.1% interval coverage</w:t>
            </w:r>
          </w:p>
        </w:tc>
      </w:tr>
      <w:tr>
        <w:trPr>
          <w:tblHeader w:val="false"/>
        </w:trP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18"/>
                <w:szCs w:val="18"/>
              </w:rPr>
              <w:t xml:space="preserve">S2 Probabilistic</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8"/>
                <w:szCs w:val="18"/>
              </w:rPr>
              <w:t xml:space="preserve">0.237</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8"/>
                <w:szCs w:val="18"/>
              </w:rPr>
              <w:t xml:space="preserve">0.617</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8"/>
                <w:szCs w:val="18"/>
              </w:rPr>
              <w:t xml:space="preserve">0.913</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8"/>
                <w:szCs w:val="18"/>
              </w:rPr>
              <w:t xml:space="preserve">-0.011</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8"/>
                <w:szCs w:val="18"/>
              </w:rPr>
              <w:t xml:space="preserve">Best speed/accuracy</w:t>
            </w:r>
          </w:p>
        </w:tc>
      </w:tr>
      <w:tr>
        <w:trPr>
          <w:tblHeader w:val="false"/>
        </w:trP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18"/>
                <w:szCs w:val="18"/>
              </w:rPr>
              <w:t xml:space="preserve">S3 MI-CCI</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18"/>
                <w:szCs w:val="18"/>
              </w:rPr>
              <w:t xml:space="preserve">0.136</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8"/>
                <w:szCs w:val="18"/>
              </w:rPr>
              <w:t xml:space="preserve">0.347</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8"/>
                <w:szCs w:val="18"/>
              </w:rPr>
              <w:t xml:space="preserve">0.973</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8"/>
                <w:szCs w:val="18"/>
              </w:rPr>
              <w:t xml:space="preserve">-0.005</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8"/>
                <w:szCs w:val="18"/>
              </w:rPr>
              <w:t xml:space="preserve">Recommended default</w:t>
            </w:r>
          </w:p>
        </w:tc>
      </w:tr>
      <w:tr>
        <w:trPr>
          <w:tblHeader w:val="false"/>
        </w:trP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18"/>
                <w:szCs w:val="18"/>
              </w:rPr>
              <w:t xml:space="preserve">S4 Bayesian</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18"/>
                <w:szCs w:val="18"/>
              </w:rPr>
              <w:t xml:space="preserve">0.135</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8"/>
                <w:szCs w:val="18"/>
              </w:rPr>
              <w:t xml:space="preserve">0.403</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8"/>
                <w:szCs w:val="18"/>
              </w:rPr>
              <w:t xml:space="preserve">0.963</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8"/>
                <w:szCs w:val="18"/>
              </w:rPr>
              <w:t xml:space="preserve">-0.006</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8"/>
                <w:szCs w:val="18"/>
              </w:rPr>
              <w:t xml:space="preserve">Best for Bayesian pipelines</w:t>
            </w:r>
          </w:p>
        </w:tc>
      </w:tr>
      <w:tr>
        <w:trPr>
          <w:tblHeader w:val="false"/>
        </w:trP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18"/>
                <w:szCs w:val="18"/>
              </w:rPr>
              <w:t xml:space="preserve">S5 ML-CCI</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8"/>
                <w:szCs w:val="18"/>
              </w:rPr>
              <w:t xml:space="preserve">0.509</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8"/>
                <w:szCs w:val="18"/>
              </w:rPr>
              <w:t xml:space="preserve">0.757</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8"/>
                <w:szCs w:val="18"/>
              </w:rPr>
              <w:t xml:space="preserve">0.870</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8"/>
                <w:szCs w:val="18"/>
              </w:rPr>
              <w:t xml:space="preserve">+0.078</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8"/>
                <w:szCs w:val="18"/>
              </w:rPr>
              <w:t xml:space="preserve">Temporal drift — use with care</w:t>
            </w:r>
          </w:p>
        </w:tc>
      </w:tr>
      <w:tr>
        <w:trPr>
          <w:tblHeader w:val="false"/>
        </w:trP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18"/>
                <w:szCs w:val="18"/>
              </w:rPr>
              <w:t xml:space="preserve">S6 Ensemble</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8"/>
                <w:szCs w:val="18"/>
              </w:rPr>
              <w:t xml:space="preserve">0.174</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8"/>
                <w:szCs w:val="18"/>
              </w:rPr>
              <w:t xml:space="preserve">0.341</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8"/>
                <w:szCs w:val="18"/>
              </w:rPr>
              <w:t xml:space="preserve">0.974</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8"/>
                <w:szCs w:val="18"/>
              </w:rPr>
              <w:t xml:space="preserve">+0.006</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8"/>
                <w:szCs w:val="18"/>
              </w:rPr>
              <w:t xml:space="preserve">Best R²; needs calibration set</w:t>
            </w:r>
          </w:p>
        </w:tc>
      </w:tr>
    </w:tbl>
    <w:p>
      <w:pPr>
        <w:spacing w:after="200"/>
      </w:pPr>
      <w:r>
        <w:rPr>
          <w:rFonts w:ascii="Calibri" w:cs="Calibri" w:eastAsia="Calibri" w:hAnsi="Calibri"/>
          <w:i/>
          <w:iCs/>
          <w:sz w:val="18"/>
          <w:szCs w:val="18"/>
        </w:rPr>
        <w:t xml:space="preserve">ΔMAE = MAE(validation) minus MAE(training). Negative values indicate the strategy generalizes better to the validation cohort than to the training data.</w:t>
      </w:r>
    </w:p>
    <w:p>
      <w:pPr>
        <w:pBdr>
          <w:bottom w:val="single" w:color="2E75B6" w:sz="6" w:space="1"/>
        </w:pBdr>
        <w:spacing w:after="160"/>
      </w:pPr>
    </w:p>
    <w:p>
      <w:pPr>
        <w:pStyle w:val="Heading1"/>
        <w:spacing w:before="360" w:after="160"/>
      </w:pPr>
      <w:r>
        <w:rPr>
          <w:rFonts w:ascii="Calibri" w:cs="Calibri" w:eastAsia="Calibri" w:hAnsi="Calibri"/>
          <w:b/>
          <w:bCs/>
          <w:color w:val="1F4E79"/>
          <w:sz w:val="28"/>
          <w:szCs w:val="28"/>
        </w:rPr>
        <w:t xml:space="preserve">5. Known Challenges and Limitations</w:t>
      </w:r>
    </w:p>
    <w:p>
      <w:pPr>
        <w:pStyle w:val="Heading2"/>
        <w:spacing w:before="240" w:after="120"/>
      </w:pPr>
      <w:r>
        <w:rPr>
          <w:rFonts w:ascii="Calibri" w:cs="Calibri" w:eastAsia="Calibri" w:hAnsi="Calibri"/>
          <w:b/>
          <w:bCs/>
          <w:color w:val="2E75B6"/>
          <w:sz w:val="24"/>
          <w:szCs w:val="24"/>
        </w:rPr>
        <w:t xml:space="preserve">5.1  Temporal Drift in S5</w:t>
      </w:r>
    </w:p>
    <w:p>
      <w:pPr>
        <w:spacing w:after="160" w:line="276" w:lineRule="auto"/>
        <w:jc w:val="both"/>
      </w:pPr>
      <w:r>
        <w:rPr>
          <w:rFonts w:ascii="Calibri" w:cs="Calibri" w:eastAsia="Calibri" w:hAnsi="Calibri"/>
          <w:sz w:val="22"/>
          <w:szCs w:val="22"/>
        </w:rPr>
        <w:t xml:space="preserve">The ML model internalizes ICD coding patterns from the training period (2010-2018). Practices shift over time due to DRG optimization, new coding requirements, and changes in case mix. The 2020-2024 cohort introduced COVID-19-specific codes (U07.1 and related categories) entirely absent from training. Researchers applying S5 across multi-year datasets spanning different coding eras should expect degradation and consider periodic retraining.</w:t>
      </w:r>
    </w:p>
    <w:p>
      <w:pPr>
        <w:pStyle w:val="Heading2"/>
        <w:spacing w:before="240" w:after="120"/>
      </w:pPr>
      <w:r>
        <w:rPr>
          <w:rFonts w:ascii="Calibri" w:cs="Calibri" w:eastAsia="Calibri" w:hAnsi="Calibri"/>
          <w:b/>
          <w:bCs/>
          <w:color w:val="2E75B6"/>
          <w:sz w:val="24"/>
          <w:szCs w:val="24"/>
        </w:rPr>
        <w:t xml:space="preserve">5.2  Sex Unavailability</w:t>
      </w:r>
    </w:p>
    <w:p>
      <w:pPr>
        <w:spacing w:after="160" w:line="276" w:lineRule="auto"/>
        <w:jc w:val="both"/>
      </w:pPr>
      <w:r>
        <w:rPr>
          <w:rFonts w:ascii="Calibri" w:cs="Calibri" w:eastAsia="Calibri" w:hAnsi="Calibri"/>
          <w:sz w:val="22"/>
          <w:szCs w:val="22"/>
        </w:rPr>
        <w:t xml:space="preserve">The Destatis prior is sex-stratified, but patient sex was not available in the UMM pseudonymized extract under the applicable data protection framework. Strategies S2-S4 therefore use sex-aggregated marginal distributions. Institutions with sex available can improve S2 accuracy by an estimated 5-10% by requesting age-and-sex-specific Destatis priors via get_subcode_probs_fast().</w:t>
      </w:r>
    </w:p>
    <w:p>
      <w:pPr>
        <w:pStyle w:val="Heading2"/>
        <w:spacing w:before="240" w:after="120"/>
      </w:pPr>
      <w:r>
        <w:rPr>
          <w:rFonts w:ascii="Calibri" w:cs="Calibri" w:eastAsia="Calibri" w:hAnsi="Calibri"/>
          <w:b/>
          <w:bCs/>
          <w:color w:val="2E75B6"/>
          <w:sz w:val="24"/>
          <w:szCs w:val="24"/>
        </w:rPr>
        <w:t xml:space="preserve">5.3  Destatis Prior Misspecification</w:t>
      </w:r>
    </w:p>
    <w:p>
      <w:pPr>
        <w:spacing w:after="160" w:line="276" w:lineRule="auto"/>
        <w:jc w:val="both"/>
      </w:pPr>
      <w:r>
        <w:rPr>
          <w:rFonts w:ascii="Calibri" w:cs="Calibri" w:eastAsia="Calibri" w:hAnsi="Calibri"/>
          <w:sz w:val="22"/>
          <w:szCs w:val="22"/>
        </w:rPr>
        <w:t xml:space="preserve">National frequency averages may not accurately reflect local coding practices. Academic medical centers, pediatric hospitals, and rehabilitation facilities have systematically different ICD distribution profiles. S3 and S4 inherit any mismatch between the national prior and institutional reality. Institutions can partially mitigate this by replacing the Destatis prior with an internally computed subcode distribution if full-code data are available for a baseline period.</w:t>
      </w:r>
    </w:p>
    <w:p>
      <w:pPr>
        <w:pStyle w:val="Heading2"/>
        <w:spacing w:before="240" w:after="120"/>
      </w:pPr>
      <w:r>
        <w:rPr>
          <w:rFonts w:ascii="Calibri" w:cs="Calibri" w:eastAsia="Calibri" w:hAnsi="Calibri"/>
          <w:b/>
          <w:bCs/>
          <w:color w:val="2E75B6"/>
          <w:sz w:val="24"/>
          <w:szCs w:val="24"/>
        </w:rPr>
        <w:t xml:space="preserve">5.4  Computational Cost of S3 and S4</w:t>
      </w:r>
    </w:p>
    <w:p>
      <w:pPr>
        <w:spacing w:after="160" w:line="276" w:lineRule="auto"/>
        <w:jc w:val="both"/>
      </w:pPr>
      <w:r>
        <w:rPr>
          <w:rFonts w:ascii="Calibri" w:cs="Calibri" w:eastAsia="Calibri" w:hAnsi="Calibri"/>
          <w:sz w:val="22"/>
          <w:szCs w:val="22"/>
        </w:rPr>
        <w:t xml:space="preserve">At production settings (m=20, n_draws=25), S3 requires approximately 4 hours and S4 approximately 8 hours for 500,000 encounters. This is acceptable for one-time cohort-level analyses but prohibitive for interactive or real-time applications. The inner sampling loop is the bottleneck; vectorizing subcode drawing via matrix operations (drawing all m rounds for all prefixes simultaneously) would reduce runtime to approximately 5 minutes and is targeted for v0.5.0.</w:t>
      </w:r>
    </w:p>
    <w:p>
      <w:pPr>
        <w:pStyle w:val="Heading2"/>
        <w:spacing w:before="240" w:after="120"/>
      </w:pPr>
      <w:r>
        <w:rPr>
          <w:rFonts w:ascii="Calibri" w:cs="Calibri" w:eastAsia="Calibri" w:hAnsi="Calibri"/>
          <w:b/>
          <w:bCs/>
          <w:color w:val="2E75B6"/>
          <w:sz w:val="24"/>
          <w:szCs w:val="24"/>
        </w:rPr>
        <w:t xml:space="preserve">5.5  Single-Institution External Validation</w:t>
      </w:r>
    </w:p>
    <w:p>
      <w:pPr>
        <w:spacing w:after="160" w:line="276" w:lineRule="auto"/>
        <w:jc w:val="both"/>
      </w:pPr>
      <w:r>
        <w:rPr>
          <w:rFonts w:ascii="Calibri" w:cs="Calibri" w:eastAsia="Calibri" w:hAnsi="Calibri"/>
          <w:sz w:val="22"/>
          <w:szCs w:val="22"/>
        </w:rPr>
        <w:t xml:space="preserve">All quantitative results come from a single German university hospital. Generalizability to community hospitals, rehabilitation facilities, and non-German ICD systems has not been formally assessed. Multi-site validation using MIMIC-IV (English ICD-10-CM) and additional German DRG databases is planned for a subsequent publication.</w:t>
      </w:r>
    </w:p>
    <w:p>
      <w:pPr>
        <w:pBdr>
          <w:bottom w:val="single" w:color="2E75B6" w:sz="6" w:space="1"/>
        </w:pBdr>
        <w:spacing w:after="160"/>
      </w:pPr>
    </w:p>
    <w:p>
      <w:pPr>
        <w:pStyle w:val="Heading1"/>
        <w:spacing w:before="360" w:after="160"/>
      </w:pPr>
      <w:r>
        <w:rPr>
          <w:rFonts w:ascii="Calibri" w:cs="Calibri" w:eastAsia="Calibri" w:hAnsi="Calibri"/>
          <w:b/>
          <w:bCs/>
          <w:color w:val="1F4E79"/>
          <w:sz w:val="28"/>
          <w:szCs w:val="28"/>
        </w:rPr>
        <w:t xml:space="preserve">6. References</w:t>
      </w:r>
    </w:p>
    <w:p>
      <w:pPr>
        <w:spacing w:after="120" w:line="276" w:lineRule="auto"/>
        <w:ind w:left="360" w:hanging="360"/>
      </w:pPr>
      <w:r>
        <w:rPr>
          <w:rFonts w:ascii="Calibri" w:cs="Calibri" w:eastAsia="Calibri" w:hAnsi="Calibri"/>
          <w:sz w:val="18"/>
          <w:szCs w:val="18"/>
        </w:rPr>
        <w:t xml:space="preserve">1. Charlson ME, Pompei P, Ales KL, MacKenzie CR. A new method of classifying prognostic comorbidity in longitudinal studies: development and validation. J Chronic Dis. 1987;40(5):373-383. doi:10.1016/0021-9681(87)90171-8</w:t>
      </w:r>
    </w:p>
    <w:p>
      <w:pPr>
        <w:spacing w:after="120" w:line="276" w:lineRule="auto"/>
        <w:ind w:left="360" w:hanging="360"/>
      </w:pPr>
      <w:r>
        <w:rPr>
          <w:rFonts w:ascii="Calibri" w:cs="Calibri" w:eastAsia="Calibri" w:hAnsi="Calibri"/>
          <w:sz w:val="18"/>
          <w:szCs w:val="18"/>
        </w:rPr>
        <w:t xml:space="preserve">2. Quan H, Sundararajan V, Halfon P, et al. Coding algorithms for defining comorbidities in ICD-9-CM and ICD-10 administrative data. Med Care. 2005;43(11):1130-1139. doi:10.1097/01.mlr.0000182534.19832.83</w:t>
      </w:r>
    </w:p>
    <w:p>
      <w:pPr>
        <w:spacing w:after="120" w:line="276" w:lineRule="auto"/>
        <w:ind w:left="360" w:hanging="360"/>
      </w:pPr>
      <w:r>
        <w:rPr>
          <w:rFonts w:ascii="Calibri" w:cs="Calibri" w:eastAsia="Calibri" w:hAnsi="Calibri"/>
          <w:sz w:val="18"/>
          <w:szCs w:val="18"/>
        </w:rPr>
        <w:t xml:space="preserve">3. §21 Krankenhausentgeltgesetz (KHEntgG). Übermittlungspflicht der Krankenhäuser, Verarbeitung der Daten durch das Institut für das Entgeltsystem im Krankenhaus. Bundesministerium der Justiz. 2004.</w:t>
      </w:r>
    </w:p>
    <w:p>
      <w:pPr>
        <w:spacing w:after="120" w:line="276" w:lineRule="auto"/>
        <w:ind w:left="360" w:hanging="360"/>
      </w:pPr>
      <w:r>
        <w:rPr>
          <w:rFonts w:ascii="Calibri" w:cs="Calibri" w:eastAsia="Calibri" w:hAnsi="Calibri"/>
          <w:sz w:val="18"/>
          <w:szCs w:val="18"/>
        </w:rPr>
        <w:t xml:space="preserve">4. Statistisches Bundesamt (Destatis). Diagnosedaten der Krankenhäuser (Krankenhausdiagnosestatistik) 23131-01. Wiesbaden: Destatis; 2024. https://www.destatis.de/static/DE/dokumente/5231301237015_SB.xlsx</w:t>
      </w:r>
    </w:p>
    <w:p>
      <w:pPr>
        <w:spacing w:after="120" w:line="276" w:lineRule="auto"/>
        <w:ind w:left="360" w:hanging="360"/>
      </w:pPr>
      <w:r>
        <w:rPr>
          <w:rFonts w:ascii="Calibri" w:cs="Calibri" w:eastAsia="Calibri" w:hAnsi="Calibri"/>
          <w:sz w:val="18"/>
          <w:szCs w:val="18"/>
        </w:rPr>
        <w:t xml:space="preserve">5. van Buuren S. Flexible Imputation of Missing Data. 2nd ed. Boca Raton: CRC Press; 2018. https://stefvanbuuren.name/fimd/</w:t>
      </w:r>
    </w:p>
    <w:p>
      <w:pPr>
        <w:spacing w:after="120" w:line="276" w:lineRule="auto"/>
        <w:ind w:left="360" w:hanging="360"/>
      </w:pPr>
      <w:r>
        <w:rPr>
          <w:rFonts w:ascii="Calibri" w:cs="Calibri" w:eastAsia="Calibri" w:hAnsi="Calibri"/>
          <w:sz w:val="18"/>
          <w:szCs w:val="18"/>
        </w:rPr>
        <w:t xml:space="preserve">6. Rubin DB. Multiple Imputation for Nonresponse in Surveys. New York: Wiley; 1987. doi:10.1002/9780470316696</w:t>
      </w:r>
    </w:p>
    <w:p>
      <w:pPr>
        <w:spacing w:after="120" w:line="276" w:lineRule="auto"/>
        <w:ind w:left="360" w:hanging="360"/>
      </w:pPr>
      <w:r>
        <w:rPr>
          <w:rFonts w:ascii="Calibri" w:cs="Calibri" w:eastAsia="Calibri" w:hAnsi="Calibri"/>
          <w:sz w:val="18"/>
          <w:szCs w:val="18"/>
        </w:rPr>
        <w:t xml:space="preserve">7. Chen T, Guestrin C. XGBoost: A scalable tree boosting system. Proceedings of the 22nd ACM SIGKDD International Conference on Knowledge Discovery and Data Mining. New York: ACM; 2016:785-794. doi:10.1145/2939672.2939785</w:t>
      </w:r>
    </w:p>
    <w:p>
      <w:pPr>
        <w:spacing w:after="120" w:line="276" w:lineRule="auto"/>
        <w:ind w:left="360" w:hanging="360"/>
      </w:pPr>
      <w:r>
        <w:rPr>
          <w:rFonts w:ascii="Calibri" w:cs="Calibri" w:eastAsia="Calibri" w:hAnsi="Calibri"/>
          <w:sz w:val="18"/>
          <w:szCs w:val="18"/>
        </w:rPr>
        <w:t xml:space="preserve">8. Lawson CL, Hanson RJ. Solving Least Squares Problems. Philadelphia: SIAM; 1995. doi:10.1137/1.9781611971217</w:t>
      </w:r>
    </w:p>
    <w:p>
      <w:pPr>
        <w:spacing w:after="120" w:line="276" w:lineRule="auto"/>
        <w:ind w:left="360" w:hanging="360"/>
      </w:pPr>
      <w:r>
        <w:rPr>
          <w:rFonts w:ascii="Calibri" w:cs="Calibri" w:eastAsia="Calibri" w:hAnsi="Calibri"/>
          <w:sz w:val="18"/>
          <w:szCs w:val="18"/>
        </w:rPr>
        <w:t xml:space="preserve">9. Quan H, Li B, Couris CM, et al. Updating and validating the Charlson Comorbidity Index and score for risk adjustment in hospital discharge abstracts using data from 6 countries. Am J Epidemiol. 2011;173(6):676-682. doi:10.1093/aje/kwq433</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60" w:after="160"/>
      <w:outlineLvl w:val="0"/>
    </w:pPr>
    <w:rPr>
      <w:rFonts w:ascii="Calibri" w:cs="Calibri" w:eastAsia="Calibri" w:hAnsi="Calibri"/>
      <w:b/>
      <w:bCs/>
      <w:color w:val="1F4E79"/>
      <w:sz w:val="28"/>
      <w:szCs w:val="28"/>
    </w:rPr>
  </w:style>
  <w:style w:type="paragraph" w:styleId="Heading2">
    <w:name w:val="Heading 2"/>
    <w:basedOn w:val="Normal"/>
    <w:next w:val="Normal"/>
    <w:pPr>
      <w:spacing w:before="240" w:after="100"/>
      <w:outlineLvl w:val="1"/>
    </w:pPr>
    <w:rPr>
      <w:rFonts w:ascii="Calibri" w:cs="Calibri" w:eastAsia="Calibri" w:hAnsi="Calibri"/>
      <w:b/>
      <w:bCs/>
      <w:color w:val="2E75B6"/>
      <w:sz w:val="24"/>
      <w:szCs w:val="24"/>
    </w:rPr>
  </w:style>
  <w:style w:type="paragraph" w:styleId="Heading3">
    <w:name w:val="Heading 3"/>
    <w:basedOn w:val="Normal"/>
    <w:next w:val="Normal"/>
    <w:pPr>
      <w:spacing w:before="180" w:after="8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2026-03-13T12:15:53.212Z</dcterms:created>
  <dcterms:modified xsi:type="dcterms:W3CDTF">2026-03-13T12:15:53.213Z</dcterms:modified>
</cp:coreProperties>
</file>

<file path=docProps/custom.xml><?xml version="1.0" encoding="utf-8"?>
<Properties xmlns="http://schemas.openxmlformats.org/officeDocument/2006/custom-properties" xmlns:vt="http://schemas.openxmlformats.org/officeDocument/2006/docPropsVTypes"/>
</file>