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1A9D6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11798300</wp:posOffset>
            </wp:positionV>
            <wp:extent cx="457200" cy="431800"/>
            <wp:effectExtent l="0" t="0" r="0" b="635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 w14:paraId="6B7A79BC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2025年吉林省普通高等学校招生选择性考试历史</w:t>
      </w:r>
    </w:p>
    <w:p w14:paraId="72E8B712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本试卷共8页。考试结束后，将本试卷和答题卡一并交回。</w:t>
      </w:r>
    </w:p>
    <w:p w14:paraId="56463145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1D1A6737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1.答题前，考生先将自己的姓名、准考证号码填写清楚，将条形码准确粘贴在考生信息条形码粘贴区。</w:t>
      </w:r>
    </w:p>
    <w:p w14:paraId="64F738AB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2.选择题必须使用2B铅笔填涂；非选择题必须使用0.5毫米黑色字迹的签字笔书写，字体工整、笔迹清楚。</w:t>
      </w:r>
    </w:p>
    <w:p w14:paraId="75F5BDE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3.请按照题号顺序在答题卡各题目的答题区域内作答，超出答题区域书写的答案无效；在草稿纸、试卷上答题无效。</w:t>
      </w:r>
    </w:p>
    <w:p w14:paraId="044C7232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4.作图可先使用铅笔画出，确定后必须用黑色字迹的签字笔描黑。</w:t>
      </w:r>
    </w:p>
    <w:p w14:paraId="0D459C7D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5.保持卡面清洁，不要折叠，不要弄破、弄皱，不准使用涂改液、修正带、刮纸刀。</w:t>
      </w:r>
    </w:p>
    <w:p w14:paraId="29BBD335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一、选择题：本题共16小题，每小题3分，共48分。在每小题给出的四个选项中，只有一项符合题目要求。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14F2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504069D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781883F4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E7F9459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EC6CC1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A86B4D9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3753F4F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197BC6F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7.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38BE52CF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8.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89FE004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9.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66C6211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10.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</w:tr>
      <w:tr w14:paraId="5839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B288F2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3E9E9EF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F5F306A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B9E2EB7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E05DFC3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8CDB08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792F41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B861C4A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301BEC4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785FFFD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0B1818BE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二、非选择题：本题共4小题，共52分。</w:t>
      </w:r>
    </w:p>
    <w:p w14:paraId="6AE92B93">
      <w:pPr>
        <w:spacing w:line="360" w:lineRule="auto"/>
        <w:jc w:val="left"/>
      </w:pPr>
      <w:r>
        <w:rPr>
          <w:color w:val="auto"/>
          <w:sz w:val="21"/>
        </w:rPr>
        <w:t>17.</w:t>
      </w:r>
      <w:r>
        <w:t>（1）</w:t>
      </w:r>
      <w:r>
        <w:rPr>
          <w:rFonts w:ascii="宋体" w:hAnsi="宋体" w:eastAsia="宋体" w:cs="宋体"/>
          <w:color w:val="auto"/>
          <w:sz w:val="21"/>
        </w:rPr>
        <w:t>原因：前朝技术奠基与明代本土化创新；宫廷需求：皇家垄断与等级象征的推动；经济基础：手工业繁荣与商品经济萌芽；文化土壤：传统美学与工艺哲学的契合等。</w:t>
      </w:r>
      <w:r>
        <w:t xml:space="preserve">    </w:t>
      </w:r>
    </w:p>
    <w:p w14:paraId="5D0C91DE"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  <w:sz w:val="21"/>
        </w:rPr>
        <w:t>演变：从皇家垄断到国际交流；从传统工艺到文化符号；从凸显等级到迎合市场。启示：技术传承与创新是工艺生命力的核心；社会需求是工艺发展的根本动力；文化交流是工艺创新的重要源泉；制度保障是工艺传承的关键支撑；文化认同是工艺价值的终极归属等。</w:t>
      </w:r>
    </w:p>
    <w:p w14:paraId="158577CA">
      <w:pPr>
        <w:spacing w:line="360" w:lineRule="auto"/>
        <w:jc w:val="left"/>
      </w:pPr>
      <w:r>
        <w:rPr>
          <w:color w:val="auto"/>
          <w:sz w:val="21"/>
        </w:rPr>
        <w:t>18.</w:t>
      </w:r>
      <w:r>
        <w:t>（1）</w:t>
      </w:r>
      <w:r>
        <w:rPr>
          <w:rFonts w:ascii="宋体" w:hAnsi="宋体" w:eastAsia="宋体" w:cs="宋体"/>
          <w:color w:val="auto"/>
          <w:sz w:val="21"/>
        </w:rPr>
        <w:t>原因：理论发展的需要；应对政治形势的变化；统一党内思想；历史经验的总结；毛泽东个人的理论自觉等。</w:t>
      </w:r>
      <w:r>
        <w:t xml:space="preserve">    </w:t>
      </w:r>
    </w:p>
    <w:p w14:paraId="7693025D"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  <w:sz w:val="21"/>
        </w:rPr>
        <w:t>认识：毛泽东对《新民主主义论》的修改，既是理论自我完善的历程，也是中国共产党在革命关键期</w:t>
      </w:r>
      <w:bookmarkStart w:id="0" w:name="_GoBack"/>
      <w:bookmarkEnd w:id="0"/>
      <w:r>
        <w:rPr>
          <w:rFonts w:ascii="宋体" w:hAnsi="宋体" w:eastAsia="宋体" w:cs="宋体"/>
          <w:color w:val="auto"/>
          <w:sz w:val="21"/>
        </w:rPr>
        <w:t>统一思想、指导实践的战略举措。其核心价值在于：通过科学总结革命经验、批判错误思潮、构想建国蓝图，为马克思主义中国化奠定基石，并深刻影响了中国革命与建设的走向。这一过程也揭示了理论发展的规律——唯有立足实践、与时俱进，才能永葆思想的生命力。</w:t>
      </w:r>
    </w:p>
    <w:p w14:paraId="11A6A62D">
      <w:pPr>
        <w:spacing w:line="360" w:lineRule="auto"/>
        <w:jc w:val="left"/>
      </w:pPr>
      <w:r>
        <w:rPr>
          <w:color w:val="auto"/>
          <w:sz w:val="21"/>
        </w:rPr>
        <w:t>19.</w:t>
      </w:r>
      <w:r>
        <w:t>（1）</w:t>
      </w:r>
      <w:r>
        <w:rPr>
          <w:rFonts w:ascii="宋体" w:hAnsi="宋体" w:eastAsia="宋体" w:cs="宋体"/>
          <w:color w:val="auto"/>
          <w:sz w:val="21"/>
        </w:rPr>
        <w:t>主要特点：研究主题聚焦重大历史问题；价值判断以肯定进步性为主；研究方法侧重史料汇编与传统叙事。</w:t>
      </w:r>
      <w:r>
        <w:t xml:space="preserve">    </w:t>
      </w:r>
    </w:p>
    <w:p w14:paraId="0CFE53D4"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  <w:sz w:val="21"/>
        </w:rPr>
        <w:t>新变化：研究视角多元化：从政治史转向社会文化史；研究对象扩展：从精英政治到基层社会；研究方法融合跨学科理论。意义：有利于深化对革命复杂性的认识；有助于拓展历史研究的维度；揭示革命对日常生活的影响，丰富人们对现代社会转型的理解；促进了史学方法论的革新。</w:t>
      </w:r>
    </w:p>
    <w:p w14:paraId="01DA076A">
      <w:pPr>
        <w:spacing w:line="360" w:lineRule="auto"/>
        <w:jc w:val="left"/>
      </w:pPr>
      <w:r>
        <w:rPr>
          <w:color w:val="auto"/>
          <w:sz w:val="21"/>
        </w:rPr>
        <w:t>20.</w:t>
      </w:r>
      <w:r>
        <w:rPr>
          <w:rFonts w:ascii="宋体" w:hAnsi="宋体" w:eastAsia="宋体" w:cs="宋体"/>
          <w:color w:val="auto"/>
          <w:sz w:val="21"/>
        </w:rPr>
        <w:t>示例：选择①④。</w:t>
      </w:r>
    </w:p>
    <w:p w14:paraId="06DE177B">
      <w:pPr>
        <w:spacing w:line="360" w:lineRule="auto"/>
        <w:jc w:val="left"/>
      </w:pPr>
      <w:r>
        <w:rPr>
          <w:rFonts w:ascii="宋体" w:hAnsi="宋体" w:eastAsia="宋体" w:cs="宋体"/>
          <w:color w:val="auto"/>
          <w:sz w:val="21"/>
        </w:rPr>
        <w:t>论点：清代赋税制度转型的双轨路径。</w:t>
      </w:r>
    </w:p>
    <w:p w14:paraId="33F24B78">
      <w:pPr>
        <w:spacing w:line="360" w:lineRule="auto"/>
        <w:jc w:val="left"/>
      </w:pPr>
      <w:r>
        <w:rPr>
          <w:rFonts w:ascii="宋体" w:hAnsi="宋体" w:eastAsia="宋体" w:cs="宋体"/>
          <w:color w:val="auto"/>
          <w:sz w:val="21"/>
        </w:rPr>
        <w:t>阐释：中国古代赋税制度的核心矛盾，始终围绕“丁”（人口）与“地”（土地）的关系展开。从汉代的“算赋”“口赋”到唐代的“租庸调制”，再到明代“一条鞭法”的“丁粮折银”，赋税制度始终在“以丁为本”与“以地为本”间摇摆。至清代，人口激增与传统丁税制的矛盾空前尖锐。在此背景下，康熙朝“滋生人丁，永不加赋”与雍正朝“摊丁入亩”的先后出台，构成了清代赋税制度转型的关键链条。二者虽非孤立政策，却分别扮演了“破局”与“立新”的角色，共同推动中国赋税制度从传统向近代的历史性跨越。“滋生人丁，永不加赋”与“摊丁入亩”是清代赋税制度转型的“双轨路径”：前者以“冻结丁税”打破“以丁为本”的传统框架，为改革铺路；后者以“地丁合一”完成“以地为本”的制度重构，实现赋税公平与财政稳定。二者的递进实施，不仅推动了中国古代赋税制度从传统向近代的历史性跨越，更对社会结构、经济格局产生了深远影响。这一过程不仅体现了清廷“因时制宜”的改革智慧，更折射出中国传统社会在人口压力下的自我调适能力，为理解中国古代财政史与社会变迁提供了典型案例。（若其他角度言之成理也可）</w:t>
      </w:r>
    </w:p>
    <w:p w14:paraId="48EF5DDB">
      <w:pPr>
        <w:spacing w:line="360" w:lineRule="auto"/>
        <w:jc w:val="left"/>
      </w:pPr>
      <w:r>
        <w:br w:type="textWrapping"/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ECDAA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1B0B150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769EE">
    <w:pPr>
      <w:pStyle w:val="3"/>
      <w:pBdr>
        <w:bottom w:val="none" w:color="auto" w:sz="0" w:space="0"/>
      </w:pBdr>
    </w:pPr>
    <w:r>
      <w:t xml:space="preserve">  </w:t>
    </w:r>
  </w:p>
  <w:p w14:paraId="325306D7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F5D5CD5"/>
    <w:rsid w:val="38274566"/>
    <w:rsid w:val="4F5A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</Pages>
  <Words>1432</Words>
  <Characters>1493</Characters>
  <Lines>0</Lines>
  <Paragraphs>0</Paragraphs>
  <TotalTime>6</TotalTime>
  <ScaleCrop>false</ScaleCrop>
  <LinksUpToDate>false</LinksUpToDate>
  <CharactersWithSpaces>1505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2025-06-11T09:20:00Z</dcterms:created>
  <dc:creator>学科网试题生产平台</dc:creator>
  <dc:description>3774160914989056</dc:description>
  <cp:lastModifiedBy>乐</cp:lastModifiedBy>
  <dcterms:modified xsi:type="dcterms:W3CDTF">2025-06-11T05:20:53Z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eyJoZGlkIjoiYWRhODhjMTE2NzkzOGQ2N2I5ZmZmNzY4Njc5NDFkODkiLCJ1c2VySWQiOiI0MzY0MzA0MjMifQ==</vt:lpwstr>
  </property>
  <property fmtid="{D5CDD505-2E9C-101B-9397-08002B2CF9AE}" pid="7" name="KSOProductBuildVer">
    <vt:lpwstr>2052-12.1.0.21171</vt:lpwstr>
  </property>
  <property fmtid="{D5CDD505-2E9C-101B-9397-08002B2CF9AE}" pid="8" name="ICV">
    <vt:lpwstr>F5630F8C004C4368B62E2F7449B61B14_12</vt:lpwstr>
  </property>
</Properties>
</file>