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F96DF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11950700</wp:posOffset>
            </wp:positionV>
            <wp:extent cx="330200" cy="279400"/>
            <wp:effectExtent l="0" t="0" r="12700" b="635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6"/>
        </w:rPr>
        <w:t>参考答案</w:t>
      </w:r>
    </w:p>
    <w:p w14:paraId="39966184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机密★启用前</w:t>
      </w:r>
    </w:p>
    <w:p w14:paraId="759C53A3">
      <w:pPr>
        <w:spacing w:line="285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年黑龙江省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(</w:t>
      </w:r>
      <w:r>
        <w:rPr>
          <w:rFonts w:ascii="宋体" w:hAnsi="宋体" w:eastAsia="宋体" w:cs="宋体"/>
          <w:b/>
          <w:color w:val="auto"/>
          <w:sz w:val="32"/>
        </w:rPr>
        <w:t>吉林辽宁内蒙古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)</w:t>
      </w:r>
      <w:r>
        <w:rPr>
          <w:rFonts w:ascii="宋体" w:hAnsi="宋体" w:eastAsia="宋体" w:cs="宋体"/>
          <w:b/>
          <w:color w:val="auto"/>
          <w:sz w:val="32"/>
        </w:rPr>
        <w:t>普通高等学校招生选择性考试</w:t>
      </w:r>
    </w:p>
    <w:p w14:paraId="33CDAF93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地理试题</w:t>
      </w:r>
    </w:p>
    <w:p w14:paraId="1513A06D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页。考试结束后，将本试题和答题卡一并交回。</w:t>
      </w:r>
    </w:p>
    <w:p w14:paraId="2AC29F6E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．答题前，考生先将自己的姓名、准考证号码填写清楚，将条形码准确粘贴在条形码区域内。</w:t>
      </w:r>
    </w:p>
    <w:p w14:paraId="11A1D3CB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铅笔填涂；非选择题必须使用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毫米黑色字迹的签字笔书写，字体工整，笔记清楚。</w:t>
      </w:r>
    </w:p>
    <w:p w14:paraId="73FE8BC2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．请按照题号顺序在答题卡各题目的答题区域内作答，超出答题区域书写的答案无效；在草稿纸、试卷上答题无效。</w:t>
      </w:r>
    </w:p>
    <w:p w14:paraId="1033A575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．作图可先使用铅笔画出，确定后必须用黑色字迹的签字笔描黑。</w:t>
      </w:r>
    </w:p>
    <w:p w14:paraId="20D84C0A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．保持卡面清洁，不要折叠、不要弄破、弄皱，不准使用涂改液、修正带、刮纸刀。</w:t>
      </w:r>
    </w:p>
    <w:p w14:paraId="4C353998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16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48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tbl>
      <w:tblPr>
        <w:tblStyle w:val="4"/>
        <w:tblW w:w="8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1179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9FE5918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34B1D5D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CFF4ED1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CD420B5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FDB454A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55C080EB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AAA7316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7.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5268388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8.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E51D658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9.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B5E9DCF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10.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</w:tr>
      <w:tr w14:paraId="7816B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6D579F1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7403497B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CA6F072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798E1DBE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2E32BCE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9136312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5A3DE9A9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3525B7D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3346558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14C7CC3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2249972B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52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15604917">
      <w:pPr>
        <w:spacing w:line="360" w:lineRule="auto"/>
        <w:jc w:val="left"/>
      </w:pPr>
      <w:r>
        <w:rPr>
          <w:color w:val="auto"/>
          <w:sz w:val="21"/>
        </w:rPr>
        <w:t>17.</w:t>
      </w:r>
      <w:r>
        <w:t>（1）</w:t>
      </w:r>
      <w:r>
        <w:rPr>
          <w:rFonts w:ascii="宋体" w:hAnsi="宋体" w:eastAsia="宋体" w:cs="宋体"/>
          <w:color w:val="auto"/>
          <w:sz w:val="21"/>
        </w:rPr>
        <w:t>长丰县南部靠近合肥市辖区，地理位置优越，便于承接合肥的产业转移、人才流动和基础设施辐射；南部交通等基础设施更完善，北部距合肥远，</w:t>
      </w:r>
      <w:r>
        <w:rPr>
          <w:rFonts w:ascii="宋体" w:hAnsi="宋体" w:eastAsia="宋体" w:cs="宋体"/>
          <w:color w:val="auto"/>
        </w:rPr>
        <w:t>初期工业基础弱，工业发展条件差</w:t>
      </w:r>
      <w:r>
        <w:rPr>
          <w:rFonts w:ascii="宋体" w:hAnsi="宋体" w:eastAsia="宋体" w:cs="宋体"/>
          <w:color w:val="auto"/>
          <w:sz w:val="21"/>
        </w:rPr>
        <w:t>。因此优先发展南部，实施“先南后北、非均衡发展”战略。</w:t>
      </w:r>
      <w:r>
        <w:t xml:space="preserve">    </w:t>
      </w:r>
    </w:p>
    <w:p w14:paraId="4633A3EF"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</w:rPr>
        <w:t>产业类型</w:t>
      </w:r>
      <w:r>
        <w:rPr>
          <w:rFonts w:ascii="宋体" w:hAnsi="宋体" w:eastAsia="宋体" w:cs="宋体"/>
          <w:color w:val="auto"/>
          <w:sz w:val="21"/>
        </w:rPr>
        <w:t>从传统产业（汽配、食品加工、建材）向高端制造（新能源汽车）、智慧产业（智能家居）、生物医药等新兴产业转变；产业集群数量增加，</w:t>
      </w:r>
      <w:r>
        <w:rPr>
          <w:rFonts w:ascii="宋体" w:hAnsi="宋体" w:eastAsia="宋体" w:cs="宋体"/>
          <w:color w:val="auto"/>
        </w:rPr>
        <w:t>产业</w:t>
      </w:r>
      <w:r>
        <w:rPr>
          <w:rFonts w:ascii="宋体" w:hAnsi="宋体" w:eastAsia="宋体" w:cs="宋体"/>
          <w:color w:val="auto"/>
          <w:sz w:val="21"/>
        </w:rPr>
        <w:t>布局范围扩大，</w:t>
      </w:r>
      <w:r>
        <w:rPr>
          <w:rFonts w:ascii="宋体" w:hAnsi="宋体" w:eastAsia="宋体" w:cs="宋体"/>
          <w:color w:val="auto"/>
        </w:rPr>
        <w:t>从南部扩展至北部</w:t>
      </w:r>
      <w:r>
        <w:rPr>
          <w:rFonts w:ascii="宋体" w:hAnsi="宋体" w:eastAsia="宋体" w:cs="宋体"/>
          <w:color w:val="auto"/>
          <w:sz w:val="21"/>
        </w:rPr>
        <w:t>；产业不断升级，产业附加值提升，技术含量提高。</w:t>
      </w:r>
      <w:r>
        <w:t xml:space="preserve">    </w:t>
      </w:r>
    </w:p>
    <w:p w14:paraId="161AF300">
      <w:pPr>
        <w:spacing w:line="360" w:lineRule="auto"/>
        <w:jc w:val="left"/>
      </w:pPr>
      <w:r>
        <w:t>（3）</w:t>
      </w:r>
      <w:r>
        <w:rPr>
          <w:rFonts w:ascii="宋体" w:hAnsi="宋体" w:eastAsia="宋体" w:cs="宋体"/>
          <w:color w:val="auto"/>
          <w:sz w:val="21"/>
        </w:rPr>
        <w:t>智慧农业谷位于长丰县北部，推动北部农业现代化发展，缩小南北产业发展差距；</w:t>
      </w:r>
      <w:r>
        <w:rPr>
          <w:rFonts w:ascii="宋体" w:hAnsi="宋体" w:eastAsia="宋体" w:cs="宋体"/>
          <w:color w:val="auto"/>
        </w:rPr>
        <w:t>吸引资源向北部集聚，带动</w:t>
      </w:r>
      <w:r>
        <w:rPr>
          <w:rFonts w:ascii="宋体" w:hAnsi="宋体" w:eastAsia="宋体" w:cs="宋体"/>
          <w:color w:val="auto"/>
          <w:sz w:val="21"/>
        </w:rPr>
        <w:t>北部基础设施建设和人口集聚，促进城乡空间均衡布局；北部以农业现代化为特色，与南部工业集群互补，优化县域产业空间结构，</w:t>
      </w:r>
      <w:r>
        <w:rPr>
          <w:rFonts w:ascii="宋体" w:hAnsi="宋体" w:eastAsia="宋体" w:cs="宋体"/>
          <w:color w:val="auto"/>
        </w:rPr>
        <w:t>推动空间均衡发展</w:t>
      </w:r>
      <w:r>
        <w:rPr>
          <w:rFonts w:ascii="宋体" w:hAnsi="宋体" w:eastAsia="宋体" w:cs="宋体"/>
          <w:color w:val="auto"/>
          <w:sz w:val="21"/>
        </w:rPr>
        <w:t>。</w:t>
      </w:r>
    </w:p>
    <w:p w14:paraId="3C771BD8">
      <w:pPr>
        <w:spacing w:line="360" w:lineRule="auto"/>
        <w:jc w:val="left"/>
      </w:pPr>
      <w:r>
        <w:rPr>
          <w:color w:val="auto"/>
          <w:sz w:val="21"/>
        </w:rPr>
        <w:t>18.</w:t>
      </w:r>
      <w:r>
        <w:t>（1）</w:t>
      </w:r>
      <w:r>
        <w:rPr>
          <w:color w:val="auto"/>
          <w:sz w:val="21"/>
        </w:rPr>
        <w:t>甲海域降水总量大，降水日变化幅度大；降水频次高，多连续性降水；降水峰值出现时间早且峰值高。</w:t>
      </w:r>
      <w:r>
        <w:t xml:space="preserve">    </w:t>
      </w:r>
    </w:p>
    <w:p w14:paraId="7DF394D9">
      <w:pPr>
        <w:spacing w:line="360" w:lineRule="auto"/>
        <w:jc w:val="left"/>
      </w:pPr>
      <w:r>
        <w:t>（2）</w:t>
      </w:r>
      <w:r>
        <w:rPr>
          <w:color w:val="auto"/>
          <w:sz w:val="21"/>
        </w:rPr>
        <w:t>南海夏季风爆发后，来自低纬海洋的西南夏季风携带大量水汽，在甲海域受地形抬升易形成降水；甲海域周边地区盛行偏南气流与偏东气流，气流在甲海域汇合，形成辐合上升气流，促使水汽凝结成云致雨。</w:t>
      </w:r>
      <w:r>
        <w:t xml:space="preserve">    </w:t>
      </w:r>
    </w:p>
    <w:p w14:paraId="2942579B">
      <w:pPr>
        <w:spacing w:line="360" w:lineRule="auto"/>
        <w:jc w:val="left"/>
      </w:pPr>
      <w:r>
        <w:t>（3）</w:t>
      </w:r>
      <w:r>
        <w:rPr>
          <w:color w:val="auto"/>
          <w:sz w:val="21"/>
        </w:rPr>
        <w:t>​降水差异方面：乙海域降水较少，光照充足，利于浮游植物进行光合作用，生产更多的有机物质，为鱼类提供丰富的饵料；晴天多，表层海水温度较高，盐度较高，适合大洋鱼类生存。​夏季风影响方面：夏季风在乙海域形成离岸风，导致海水离岸流动，深层海水上泛，将海底的营养盐类带到表层，促进浮游生物生长，为鱼类提供充足食物；夏季风使海水流动，有利于改善海域水质，增加水中溶氧量，适宜鱼类聚集。</w:t>
      </w:r>
    </w:p>
    <w:p w14:paraId="668F6EBF">
      <w:pPr>
        <w:spacing w:line="360" w:lineRule="auto"/>
        <w:jc w:val="left"/>
      </w:pPr>
      <w:r>
        <w:rPr>
          <w:color w:val="auto"/>
          <w:sz w:val="21"/>
        </w:rPr>
        <w:t>19.</w:t>
      </w:r>
      <w:r>
        <w:t>（1）</w:t>
      </w:r>
      <w:r>
        <w:rPr>
          <w:rFonts w:ascii="宋体" w:hAnsi="宋体" w:eastAsia="宋体" w:cs="宋体"/>
          <w:color w:val="auto"/>
          <w:sz w:val="21"/>
        </w:rPr>
        <w:t>武昌组团作为武汉中心城区组团，土地利用呈现出以商业和居住用地为主，土地利用强度大、利用率高；土地利用混合程度高，城市功能分区相对模糊；土地价格高，开发成本大；公共服务设施用地占比较大，基础设施更为完善等特点。</w:t>
      </w:r>
      <w:r>
        <w:t xml:space="preserve">    </w:t>
      </w:r>
    </w:p>
    <w:p w14:paraId="3D9824B7"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  <w:sz w:val="21"/>
        </w:rPr>
        <w:t>武汉新城组团位于“武鄂黄黄”区域的中心地带，这一地理位置为其人口集聚带来了显著优势。首先，其交通便利，多条高速公路、铁路和水运线路交汇于此，使得人员流动更加便捷。其次，作为光电子、新材料等产业的集聚区，武汉新城组团提供了丰富的就业机会，吸引了大量劳动力前来就业和生活。此外，其良好的城市环境和配套设施也进一步促进了人口的集聚。</w:t>
      </w:r>
      <w:r>
        <w:t xml:space="preserve">    </w:t>
      </w:r>
    </w:p>
    <w:p w14:paraId="41EB0A3C">
      <w:pPr>
        <w:spacing w:line="360" w:lineRule="auto"/>
        <w:jc w:val="left"/>
      </w:pPr>
      <w:r>
        <w:t>（3）</w:t>
      </w:r>
    </w:p>
    <w:p w14:paraId="22A8342A">
      <w:pPr>
        <w:spacing w:line="360" w:lineRule="auto"/>
        <w:jc w:val="left"/>
      </w:pPr>
      <w:r>
        <w:rPr>
          <w:rFonts w:ascii="宋体" w:hAnsi="宋体" w:eastAsia="宋体" w:cs="宋体"/>
          <w:color w:val="auto"/>
          <w:sz w:val="21"/>
        </w:rPr>
        <w:t>高速公路‌：通过建设和完善高速公路网络，实现与武汉、鄂州、黄石和黄冈等城市的快速连接，促进人员和物资的流通。 ‌</w:t>
      </w:r>
    </w:p>
    <w:p w14:paraId="1789BCD4">
      <w:pPr>
        <w:spacing w:line="360" w:lineRule="auto"/>
        <w:jc w:val="left"/>
      </w:pPr>
      <w:r>
        <w:rPr>
          <w:rFonts w:ascii="宋体" w:hAnsi="宋体" w:eastAsia="宋体" w:cs="宋体"/>
          <w:color w:val="auto"/>
          <w:sz w:val="21"/>
        </w:rPr>
        <w:t>铁路‌：利用现有的铁路资源，加强与其他城市的铁路交通联系，提高运输效率和便捷性。 ‌</w:t>
      </w:r>
    </w:p>
    <w:p w14:paraId="0CB3299A">
      <w:pPr>
        <w:spacing w:line="360" w:lineRule="auto"/>
        <w:jc w:val="left"/>
      </w:pPr>
      <w:r>
        <w:rPr>
          <w:rFonts w:ascii="宋体" w:hAnsi="宋体" w:eastAsia="宋体" w:cs="宋体"/>
          <w:color w:val="auto"/>
          <w:sz w:val="21"/>
        </w:rPr>
        <w:t>水运‌：依托长江黄金水道，发展水运交通，加强与武汉等城市的水上联系，降低物流成本。 ‌</w:t>
      </w:r>
    </w:p>
    <w:p w14:paraId="564D988D">
      <w:pPr>
        <w:spacing w:line="360" w:lineRule="auto"/>
        <w:jc w:val="left"/>
      </w:pPr>
      <w:r>
        <w:rPr>
          <w:rFonts w:ascii="宋体" w:hAnsi="宋体" w:eastAsia="宋体" w:cs="宋体"/>
          <w:color w:val="auto"/>
          <w:sz w:val="21"/>
        </w:rPr>
        <w:t>公共交通‌：优化公共交通系统，提高区域内公共交通的覆盖率和便捷性，方便居民出行和交流。</w:t>
      </w:r>
    </w:p>
    <w:p w14:paraId="6F9BB096">
      <w:pPr>
        <w:spacing w:line="360" w:lineRule="auto"/>
        <w:jc w:val="left"/>
      </w:pPr>
      <w:r>
        <w:br w:type="textWrapping"/>
      </w:r>
    </w:p>
    <w:p w14:paraId="7F67AA45">
      <w:pPr>
        <w:spacing w:line="360" w:lineRule="auto"/>
        <w:jc w:val="both"/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82788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699CD31E">
    <w:pPr>
      <w:pStyle w:val="2"/>
    </w:pPr>
  </w:p>
  <w:p w14:paraId="29EF11CC">
    <w:pPr>
      <w:pStyle w:val="2"/>
      <w:jc w:val="right"/>
      <w:rPr>
        <w:rFonts w:hint="default" w:eastAsia="宋体"/>
        <w:lang w:val="en-US" w:eastAsia="zh-CN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</w:t>
    </w:r>
  </w:p>
  <w:p w14:paraId="00B7F056">
    <w:pPr>
      <w:tabs>
        <w:tab w:val="center" w:pos="4153"/>
        <w:tab w:val="right" w:pos="8306"/>
      </w:tabs>
      <w:snapToGrid w:val="0"/>
      <w:jc w:val="right"/>
      <w:rPr>
        <w:rFonts w:cs="Times New Roman"/>
        <w:kern w:val="0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34A1E">
    <w:pPr>
      <w:pStyle w:val="3"/>
      <w:pBdr>
        <w:bottom w:val="none" w:color="auto" w:sz="0" w:space="0"/>
      </w:pBdr>
      <w:jc w:val="right"/>
    </w:pPr>
    <w:r>
      <w:t xml:space="preserve">  </w:t>
    </w:r>
    <w:bookmarkStart w:id="0" w:name="_GoBack"/>
    <w:bookmarkEnd w:id="0"/>
    <w:r>
      <w:t xml:space="preserve"> </w:t>
    </w:r>
  </w:p>
  <w:p w14:paraId="5C385774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DD14361"/>
    <w:rsid w:val="38274566"/>
    <w:rsid w:val="5FDC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3"/>
    <customShpInfo spid="_x0000_s205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</Pages>
  <Words>1493</Words>
  <Characters>1550</Characters>
  <Lines>0</Lines>
  <Paragraphs>0</Paragraphs>
  <TotalTime>0</TotalTime>
  <ScaleCrop>false</ScaleCrop>
  <LinksUpToDate>false</LinksUpToDate>
  <CharactersWithSpaces>1577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2025-06-11T08:40:00Z</dcterms:created>
  <dc:creator>学科网试题生产平台</dc:creator>
  <dc:description>3774168026578944</dc:description>
  <cp:lastModifiedBy>乐</cp:lastModifiedBy>
  <dcterms:modified xsi:type="dcterms:W3CDTF">2025-06-11T05:22:32Z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eyJoZGlkIjoiYWRhODhjMTE2NzkzOGQ2N2I5ZmZmNzY4Njc5NDFkODkiLCJ1c2VySWQiOiI0MzY0MzA0MjMifQ==</vt:lpwstr>
  </property>
  <property fmtid="{D5CDD505-2E9C-101B-9397-08002B2CF9AE}" pid="7" name="KSOProductBuildVer">
    <vt:lpwstr>2052-12.1.0.21171</vt:lpwstr>
  </property>
  <property fmtid="{D5CDD505-2E9C-101B-9397-08002B2CF9AE}" pid="8" name="ICV">
    <vt:lpwstr>5CC906A1072149C8B1FD6216DFC90913_12</vt:lpwstr>
  </property>
</Properties>
</file>