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8E7A4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10922000</wp:posOffset>
            </wp:positionV>
            <wp:extent cx="431800" cy="368300"/>
            <wp:effectExtent l="0" t="0" r="6350" b="1270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 w14:paraId="336E3840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机密★启用前</w:t>
      </w:r>
    </w:p>
    <w:p w14:paraId="7278DDA6"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年黑龙江省普通高等学校招生选择性考试</w:t>
      </w:r>
    </w:p>
    <w:p w14:paraId="30FA19F5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思想政治</w:t>
      </w:r>
    </w:p>
    <w:p w14:paraId="47432258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页。</w:t>
      </w:r>
    </w:p>
    <w:p w14:paraId="16037C54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．答题前，考生先将自己的姓名、准考证号码填写清楚，将条形码准确粘贴在条形码区域内。</w:t>
      </w:r>
    </w:p>
    <w:p w14:paraId="343CD630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铅笔填涂：非选择题必须使用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毫米黑色字迹的签字笔书写，字体工整，笔记清楚。</w:t>
      </w:r>
    </w:p>
    <w:p w14:paraId="7F8B3A88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．请按照题号顺序在答题卡各题目的答题区域内作答，超出答题区域书写的答案无效：在草稿纸、试卷上答题无效。</w:t>
      </w:r>
    </w:p>
    <w:p w14:paraId="63EFCEF4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．作图可先使用铅笔画出，确定后必须用黑色字迹的签字笔描黑。</w:t>
      </w:r>
    </w:p>
    <w:p w14:paraId="0ADCB6B0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．保持卡面清洁，不要折叠、不要弄破、弄皱，不准使用涂改液、修正带、刮纸刀。</w:t>
      </w:r>
    </w:p>
    <w:p w14:paraId="4EC72323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16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分。在每小题给出的四个选项中，只有一个是符合题目要求的。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5368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3390B2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3DB26E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16D23E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664E78B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64A1201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CFFBA66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57B0073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7.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7F86B38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8.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2DC5B11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9.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7DCC960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10.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</w:tr>
      <w:tr w14:paraId="09D12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53C19FF6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5856092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EBA36AB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029CCF02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545EBE0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2410C72E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10C6853A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592B20CC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3DDC21D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 w14:paraId="5260AFA8"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68D27BD8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52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3A5C74F0">
      <w:pPr>
        <w:spacing w:line="360" w:lineRule="auto"/>
        <w:jc w:val="left"/>
      </w:pPr>
      <w:r>
        <w:rPr>
          <w:color w:val="auto"/>
          <w:sz w:val="21"/>
        </w:rPr>
        <w:t>17.</w:t>
      </w:r>
      <w:r>
        <w:rPr>
          <w:color w:val="auto"/>
        </w:rPr>
        <w:t>经验：</w:t>
      </w:r>
    </w:p>
    <w:p w14:paraId="15A5594B">
      <w:pPr>
        <w:spacing w:line="360" w:lineRule="auto"/>
        <w:jc w:val="left"/>
      </w:pPr>
      <w:r>
        <w:rPr>
          <w:color w:val="auto"/>
        </w:rPr>
        <w:t>①创新制度载体，延伸民主链条。创设街道议政会制度，吸纳人大代表、居民及企事业单位代表多元主体参与，推动人民代表大会制度向基层延伸，夯实基层民主制度基础。</w:t>
      </w:r>
    </w:p>
    <w:p w14:paraId="45AA0F45">
      <w:pPr>
        <w:spacing w:line="360" w:lineRule="auto"/>
        <w:jc w:val="left"/>
      </w:pPr>
      <w:r>
        <w:rPr>
          <w:color w:val="auto"/>
        </w:rPr>
        <w:t>②全过程人民民主是全链条、全方位、全覆盖的民主，该市构建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点单— 选单— 验单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闭环流程，形成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征集 — 决策 — 执行 — 反馈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完整链条，实现过程民主与结果民主有机衔接 。</w:t>
      </w:r>
    </w:p>
    <w:p w14:paraId="14F8FB67">
      <w:pPr>
        <w:spacing w:line="360" w:lineRule="auto"/>
        <w:jc w:val="left"/>
      </w:pPr>
      <w:r>
        <w:rPr>
          <w:color w:val="auto"/>
        </w:rPr>
        <w:t xml:space="preserve">③聚焦民生痛点，落实实质民主，以解决实际民生问题为导向，确保民主成果惠及群众，践行以人民为中心的发展思想，体现民主的真实性与管用性 。 </w:t>
      </w:r>
    </w:p>
    <w:p w14:paraId="476346F5">
      <w:pPr>
        <w:spacing w:line="360" w:lineRule="auto"/>
        <w:jc w:val="left"/>
      </w:pPr>
      <w:r>
        <w:rPr>
          <w:color w:val="auto"/>
        </w:rPr>
        <w:t>价值：</w:t>
      </w:r>
    </w:p>
    <w:p w14:paraId="1AAD2957">
      <w:pPr>
        <w:spacing w:line="360" w:lineRule="auto"/>
        <w:jc w:val="left"/>
      </w:pPr>
      <w:r>
        <w:rPr>
          <w:color w:val="auto"/>
        </w:rPr>
        <w:t>①丰富了全过程人民民主实践，街道议政会延伸人大制度，拓宽基层民主参与渠道，让人民在治理中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看得见、用得上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民主，彰显社会主义民主广泛性、真实性。</w:t>
      </w:r>
    </w:p>
    <w:p w14:paraId="2A23DA3F">
      <w:pPr>
        <w:spacing w:line="360" w:lineRule="auto"/>
        <w:jc w:val="left"/>
      </w:pPr>
      <w:r>
        <w:rPr>
          <w:color w:val="auto"/>
        </w:rPr>
        <w:t>②群众监督+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回头看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机制，倒逼政府提升执行力，推动民生实事落地，增强政府公信力与群众获得感，有利于推进基层治理体系和治理能力现代化。</w:t>
      </w:r>
    </w:p>
    <w:p w14:paraId="72489553">
      <w:pPr>
        <w:spacing w:line="360" w:lineRule="auto"/>
        <w:jc w:val="left"/>
      </w:pPr>
      <w:r>
        <w:rPr>
          <w:color w:val="auto"/>
        </w:rPr>
        <w:t xml:space="preserve">③ 保障民主全流程参与，实现过程与成果民主统一，体现全过程人民民主是最管用的民主。 </w:t>
      </w:r>
    </w:p>
    <w:p w14:paraId="472A5F39">
      <w:pPr>
        <w:spacing w:line="360" w:lineRule="auto"/>
        <w:jc w:val="left"/>
      </w:pPr>
      <w:r>
        <w:rPr>
          <w:color w:val="auto"/>
        </w:rPr>
        <w:t>④议政会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上接党委、下联群众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 xml:space="preserve">，对接党的政策与群众需求，凝聚共识，彰显民主实质，提升群众满意度，厚植执政为民基础。 </w:t>
      </w:r>
    </w:p>
    <w:p w14:paraId="375513CB">
      <w:pPr>
        <w:spacing w:line="360" w:lineRule="auto"/>
        <w:jc w:val="left"/>
      </w:pPr>
      <w:r>
        <w:rPr>
          <w:color w:val="auto"/>
          <w:sz w:val="21"/>
        </w:rPr>
        <w:t>18.</w:t>
      </w:r>
      <w:r>
        <w:rPr>
          <w:color w:val="auto"/>
        </w:rPr>
        <w:t>依据：</w:t>
      </w:r>
    </w:p>
    <w:p w14:paraId="11596D5C">
      <w:pPr>
        <w:spacing w:line="360" w:lineRule="auto"/>
        <w:jc w:val="left"/>
      </w:pPr>
      <w:r>
        <w:rPr>
          <w:color w:val="auto"/>
        </w:rPr>
        <w:t xml:space="preserve"> ① 李某免费搭载张某，属《民法典》第一千二百一十七条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情形 ，本可依规则减轻赔偿责任，但李某边驾驶边接听手持电话+超速50% ，存在重大过失，触发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例外条款（故意或重大过失不减轻责任 ），依法需承担侵权责任，不能因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减轻责任。</w:t>
      </w:r>
    </w:p>
    <w:p w14:paraId="4FDCF210">
      <w:pPr>
        <w:spacing w:line="360" w:lineRule="auto"/>
        <w:jc w:val="left"/>
      </w:pPr>
      <w:r>
        <w:rPr>
          <w:color w:val="auto"/>
        </w:rPr>
        <w:t>②双方经法院调解自愿达成协议，张某自愿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减少李某赔偿数额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，是其意思自治，符合民法典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自愿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原则 。</w:t>
      </w:r>
    </w:p>
    <w:p w14:paraId="3C645B77">
      <w:pPr>
        <w:spacing w:line="360" w:lineRule="auto"/>
        <w:jc w:val="left"/>
      </w:pPr>
      <w:r>
        <w:rPr>
          <w:color w:val="auto"/>
        </w:rPr>
        <w:t>③协议在法定责任框架内灵活调整，既尊重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的善意（鼓励互助 ），又落实过错责任（保障权益 ），彰显公平原则。</w:t>
      </w:r>
    </w:p>
    <w:p w14:paraId="23B19278">
      <w:pPr>
        <w:spacing w:line="360" w:lineRule="auto"/>
        <w:jc w:val="left"/>
      </w:pPr>
      <w:r>
        <w:rPr>
          <w:color w:val="auto"/>
        </w:rPr>
        <w:t>意义：</w:t>
      </w:r>
    </w:p>
    <w:p w14:paraId="50474FF1">
      <w:pPr>
        <w:spacing w:line="360" w:lineRule="auto"/>
        <w:jc w:val="left"/>
      </w:pPr>
      <w:r>
        <w:rPr>
          <w:color w:val="auto"/>
        </w:rPr>
        <w:t>①落实《民法典》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 xml:space="preserve">规则，明确 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重大过失不减轻责任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边界，维护法律确定性；同时尊重当事人意思自治，体现法律灵活性 。 清晰阐释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侵权责任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构成与承担，引导公众理解法律规则，增强法治意识 。</w:t>
      </w:r>
    </w:p>
    <w:p w14:paraId="133B3B38">
      <w:pPr>
        <w:spacing w:line="360" w:lineRule="auto"/>
        <w:jc w:val="left"/>
      </w:pPr>
      <w:r>
        <w:rPr>
          <w:color w:val="auto"/>
        </w:rPr>
        <w:t>②法院调解促成和解，避免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纠纷激化邻里、同事矛盾，维护社会和谐；节约司法资源，践行多元纠纷解决机制，弘扬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和为贵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 xml:space="preserve">传统，传递公序良俗 。 </w:t>
      </w:r>
    </w:p>
    <w:p w14:paraId="3FF10ABF">
      <w:pPr>
        <w:spacing w:line="360" w:lineRule="auto"/>
        <w:jc w:val="left"/>
      </w:pPr>
      <w:r>
        <w:rPr>
          <w:color w:val="auto"/>
        </w:rPr>
        <w:t>③为类似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好意同乘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侵权纠纷提供示范：既坚守法律底线，又鼓励善意，平衡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权益保护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 xml:space="preserve">与 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善意鼓励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 xml:space="preserve"> ，促进社会良性互动 。</w:t>
      </w:r>
    </w:p>
    <w:p w14:paraId="7696386A">
      <w:pPr>
        <w:spacing w:line="360" w:lineRule="auto"/>
        <w:jc w:val="left"/>
      </w:pPr>
      <w:r>
        <w:rPr>
          <w:color w:val="auto"/>
          <w:sz w:val="21"/>
        </w:rPr>
        <w:t>19.</w:t>
      </w:r>
      <w:r>
        <w:t>（1）</w:t>
      </w:r>
      <w:r>
        <w:rPr>
          <w:color w:val="auto"/>
        </w:rPr>
        <w:t>①中国式现代化道路的独特优势提供了发展中国家可借鉴的范式。中国式现代化打破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现代化=西方化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的迷思，通过和平发展、独立自主的路径实现经济增长和社会稳定，为发展中国家提供了一条避免依附性发展的替代方案。 ②顺应和平发展潮流，中国倡导并推动构建人类命运共同体，通过发展援助和技术转移，帮助发展中国家提升经济自主性和民生福祉，体现了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惠己达人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的共赢理念，展示了中国作为负责任大国的形象。 ③中国一直致力于做全球发展的贡献者。中国是世界经济发展的重要推动者，中国经济的回稳发展为世界各国的发展提供了机遇。随着中国文化产业的崛起，全球目光再次聚焦中国文化市场，为世界各国投资发展提供了更广阔的市场、更丰富的产品、更宝贵的合作机会，推动全球经济发展。</w:t>
      </w:r>
      <w:r>
        <w:rPr>
          <w:color w:val="auto"/>
          <w:sz w:val="21"/>
        </w:rPr>
        <w:t>④</w:t>
      </w:r>
      <w:r>
        <w:rPr>
          <w:color w:val="auto"/>
        </w:rPr>
        <w:t>多边外交和全球治理贡献彰显大国担当。中国坚定维护国际多边主义，积极参与国际规则制定，提出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一带一路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倡议等对外合作框架。这些行动不仅推动了全球公共产品供给，还增强了中国在解决全球性问题中的话语权，体现了国际政治经济中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制度软实力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的重要性。</w:t>
      </w:r>
      <w:r>
        <w:t xml:space="preserve">    </w:t>
      </w:r>
    </w:p>
    <w:p w14:paraId="3E8AA39F">
      <w:pPr>
        <w:spacing w:line="360" w:lineRule="auto"/>
        <w:jc w:val="left"/>
      </w:pPr>
      <w:r>
        <w:t>（2）</w:t>
      </w:r>
      <w:r>
        <w:rPr>
          <w:color w:val="auto"/>
        </w:rPr>
        <w:t>①一切事物都包含着既相互对立又相互统一的两个方面，矛盾就是对立统一。中医针灸理论是与实践是对立统一的关系。中医针灸理论为针灸实践提供理论指导，针灸实践发展又不断矫正、检验中医针灸理论。矛盾双方相互排斥、相互对立，但又相互依赖、相互贯通，在一定条件下相互转化，中医针灸技术的传承和针灸理论的不断完善相辅相成，针灸特别是现代针灸在实践中的不断改进，推动针灸相关理论研究逐步深入；随着理论成果的应用和现代科技的影响，针灸现代疗法进一步提升了治疗的精准度和效率，实现对中医针灸智慧最大程度的保护和传承。 ②矛盾双方的对立统一推动事物的运动、变化和发展，由此构成事物发展的源泉和动力，坚持对立统一的观点看问题。要不断探索中医针灸实践和理论有机结合的途径和方法，在科学针灸理论指导下发展针灸技术，在针灸技术实践发展中丰富针灸理论，推动我国中医药发展。</w:t>
      </w:r>
      <w:r>
        <w:t xml:space="preserve">    </w:t>
      </w:r>
    </w:p>
    <w:p w14:paraId="134A62E2">
      <w:pPr>
        <w:spacing w:line="360" w:lineRule="auto"/>
        <w:jc w:val="left"/>
      </w:pPr>
      <w:r>
        <w:t>（3）</w:t>
      </w:r>
      <w:r>
        <w:rPr>
          <w:color w:val="auto"/>
        </w:rPr>
        <w:t>①联想思维是对事物之间普遍联系的反映，就是将记忆中对不同事物的认识进行联结与思考的思维活动。针法是以针刺经络穴位的治疗方法，来源于以尖锐石器按压身体疼痛部位能使症状缓解或消失。灸法则是受某些病痛经火熏烤得以缓解的启示发明的。 ②联想思维要以实践为基础，离不开对前人和他人已有成果的继承。在继承的基础上破旧立新，推动事物发展。在前人长期针灸实践中，针具和疗法得到改进</w: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t>相关研究也逐步深入。论述针灸疗法及适应症的经典为后世学习针灸提供了重要参考。 ③联想是创新思维的基础，迁移和想象是思维展开联想的重要方式。迁移是联想思维的</w:t>
      </w:r>
      <w:r>
        <w:rPr>
          <w:rFonts w:ascii="宋体" w:hAnsi="宋体" w:eastAsia="宋体" w:cs="宋体"/>
          <w:color w:val="auto"/>
        </w:rPr>
        <w:t>“</w:t>
      </w:r>
      <w:r>
        <w:rPr>
          <w:color w:val="auto"/>
        </w:rPr>
        <w:t>联结</w:t>
      </w:r>
      <w:r>
        <w:rPr>
          <w:rFonts w:ascii="宋体" w:hAnsi="宋体" w:eastAsia="宋体" w:cs="宋体"/>
          <w:color w:val="auto"/>
        </w:rPr>
        <w:t>”</w:t>
      </w:r>
      <w:r>
        <w:rPr>
          <w:color w:val="auto"/>
        </w:rPr>
        <w:t>方式。迁移是将不同认识对象的性质、作用等进行位置变迁与功能移植，以寻求解决问题的新思路。迁移可以为创新思维开拓可能的思路，维搭建由此及彼的桥梁。通过与免疫、神经生理等多学科融合，中医针灸理论研究范围逐步扩展，针灸这一伟大的医学智慧还有更大潜力值得发掘。</w:t>
      </w:r>
      <w:r>
        <w:t xml:space="preserve">    </w:t>
      </w:r>
    </w:p>
    <w:p w14:paraId="10DBA201">
      <w:pPr>
        <w:spacing w:line="360" w:lineRule="auto"/>
        <w:jc w:val="left"/>
      </w:pPr>
      <w:r>
        <w:t>（4）</w:t>
      </w:r>
      <w:r>
        <w:rPr>
          <w:color w:val="auto"/>
        </w:rPr>
        <w:t>求异法是指如果被考察的现象a在第一场合出现，在第二场合中不出现，而在这两个场合之间只有一点不同，即第一场合有某一因素A，第二场合没有这个因素A，其他有关因素都是相同的，那么，这个因素A与被考察的现象a有因果联系。把一定数量的人参分为两部分，一部分喷洒生物制剂，另一部分则不经过这道程序，在其他条件（气候、土壤、光照、田间管理等）相同的情况下，结果用该制剂进行叶面喷施的人参品质要高。由此得出结论：该生物制剂对特定生长期的人参进行叶面喷施，可以提升人参的品质。</w:t>
      </w:r>
    </w:p>
    <w:p w14:paraId="59EAD257">
      <w:pPr>
        <w:spacing w:line="360" w:lineRule="auto"/>
        <w:jc w:val="left"/>
      </w:pPr>
      <w:r>
        <w:br w:type="textWrapping"/>
      </w:r>
    </w:p>
    <w:p w14:paraId="340C6733">
      <w:pPr>
        <w:spacing w:line="360" w:lineRule="auto"/>
        <w:jc w:val="both"/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9625A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91DE3A3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</w:p>
  <w:p w14:paraId="089C35F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79EA4">
    <w:pPr>
      <w:pStyle w:val="3"/>
      <w:pBdr>
        <w:bottom w:val="none" w:color="auto" w:sz="0" w:space="0"/>
      </w:pBdr>
    </w:pPr>
    <w:r>
      <w:t xml:space="preserve">   </w:t>
    </w:r>
  </w:p>
  <w:p w14:paraId="3FEDC838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137603F"/>
    <w:rsid w:val="5D76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2705</Words>
  <Characters>2764</Characters>
  <Lines>0</Lines>
  <Paragraphs>0</Paragraphs>
  <TotalTime>5</TotalTime>
  <ScaleCrop>false</ScaleCrop>
  <LinksUpToDate>false</LinksUpToDate>
  <CharactersWithSpaces>2812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2025-06-11T06:54:00Z</dcterms:created>
  <dc:creator>学科网试题生产平台</dc:creator>
  <dc:description>3774168233254912</dc:description>
  <cp:lastModifiedBy>乐</cp:lastModifiedBy>
  <dcterms:modified xsi:type="dcterms:W3CDTF">2025-06-11T05:23:23Z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eyJoZGlkIjoiYWRhODhjMTE2NzkzOGQ2N2I5ZmZmNzY4Njc5NDFkODkiLCJ1c2VySWQiOiI0MzY0MzA0MjMifQ==</vt:lpwstr>
  </property>
  <property fmtid="{D5CDD505-2E9C-101B-9397-08002B2CF9AE}" pid="7" name="KSOProductBuildVer">
    <vt:lpwstr>2052-12.1.0.21171</vt:lpwstr>
  </property>
  <property fmtid="{D5CDD505-2E9C-101B-9397-08002B2CF9AE}" pid="8" name="ICV">
    <vt:lpwstr>D3E765AB2A12454291643246287688FA_12</vt:lpwstr>
  </property>
</Properties>
</file>