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1B6B8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10947400</wp:posOffset>
            </wp:positionV>
            <wp:extent cx="495300" cy="355600"/>
            <wp:effectExtent l="0" t="0" r="0" b="635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24"/>
        </w:rPr>
        <w:t>机密</w:t>
      </w:r>
      <w:r>
        <w:rPr>
          <w:rFonts w:hint="eastAsia" w:ascii="Times New Roman" w:hAnsi="Times New Roman"/>
          <w:b/>
          <w:sz w:val="24"/>
          <w:szCs w:val="21"/>
        </w:rPr>
        <w:t>★</w:t>
      </w:r>
      <w:r>
        <w:rPr>
          <w:rFonts w:hint="eastAsia" w:ascii="Times New Roman" w:hAnsi="Times New Roman"/>
          <w:b/>
          <w:sz w:val="24"/>
        </w:rPr>
        <w:t>启用前</w:t>
      </w:r>
    </w:p>
    <w:p w14:paraId="53B3E792">
      <w:pPr>
        <w:spacing w:line="288" w:lineRule="auto"/>
        <w:jc w:val="center"/>
        <w:rPr>
          <w:rFonts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2025年黑龙江、吉林、辽宁、内蒙古普通高等学校招生选择性考试</w:t>
      </w:r>
    </w:p>
    <w:p w14:paraId="02263EDC">
      <w:pPr>
        <w:spacing w:line="288" w:lineRule="auto"/>
        <w:jc w:val="center"/>
        <w:rPr>
          <w:rFonts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生物学</w:t>
      </w:r>
    </w:p>
    <w:p w14:paraId="54C1CE5D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本试卷共25题，共100分，共11页。考试结束后，将本试题和答题卡一并交回。</w:t>
      </w:r>
    </w:p>
    <w:p w14:paraId="569F6C6F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注意事项：</w:t>
      </w:r>
    </w:p>
    <w:p w14:paraId="10E56C50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1．答题前，考生先将自己的姓名、准考证号码填写清楚，将条形码准确粘贴在条形码区域内。</w:t>
      </w:r>
    </w:p>
    <w:p w14:paraId="6A2284C3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2．选择题必须使用2B铅笔填涂；非选择题必须使用0.5毫米黑色字迹的签字笔书写，字体工整，笔记清楚。</w:t>
      </w:r>
    </w:p>
    <w:p w14:paraId="756747CC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3．请按照题号顺序在答题卡各题目的答题区域内作答，超出答题区域书写的答案无效；在草稿纸、试卷上答题无效。</w:t>
      </w:r>
    </w:p>
    <w:p w14:paraId="61332E24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4．作图可先使用铅笔画出，确定后必须用黑色字迹的签字笔描黑。</w:t>
      </w:r>
    </w:p>
    <w:p w14:paraId="2D1449DC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5．保持卡面清洁，不要折叠、不要弄破、弄皱，不准使用涂改液、修正带、刮纸刀。</w:t>
      </w:r>
    </w:p>
    <w:p w14:paraId="0E707EF2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一、选择题：本题共15小题，每小题2分，共30分。在每小题给出的四个选项中，只有一项是符合题目要求的。</w:t>
      </w:r>
    </w:p>
    <w:p w14:paraId="517D401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1．下列关于耐高温的DNA聚合酶的叙述正确的是（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7C08F7D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A．基本单位是脱氧核苷酸</w:t>
      </w:r>
    </w:p>
    <w:p w14:paraId="08D143C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B．在细胞内或细胞外均可发挥作用</w:t>
      </w:r>
    </w:p>
    <w:p w14:paraId="6E53F8B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C．当模板DNA和脱氧核苷酸存在时即可催化反应</w:t>
      </w:r>
    </w:p>
    <w:p w14:paraId="00672E0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D．为维持较高活性，适宜在70℃~75℃下保存</w:t>
      </w:r>
    </w:p>
    <w:p w14:paraId="7F96259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2．下列关于现代生物进化理论的叙述错误的是（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0790EDD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A．进化的基本单位是种群</w:t>
      </w:r>
    </w:p>
    <w:p w14:paraId="032BBA0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B．可遗传变异使种群基因频率定向改变，导致生物进化</w:t>
      </w:r>
    </w:p>
    <w:p w14:paraId="0EA0E4A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C．某些物种经过地理隔离后出现生殖隔离会产生新物种</w:t>
      </w:r>
    </w:p>
    <w:p w14:paraId="3E4C5D2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D．不同物种间、生物与无机环境之间在相互影响中不断进化和发展</w:t>
      </w:r>
    </w:p>
    <w:p w14:paraId="492C80F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3．下列关于人体内环境稳态的叙述错误的是（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0CCCDF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A．胰岛素受体被破坏，可引起血糖升高       B．抗利尿激素分泌不足时，可引起尿量减少</w:t>
      </w:r>
    </w:p>
    <w:p w14:paraId="51FCB72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C．醛固酮分泌过多，可引起血钠含量上升     D．血液中Ca</w:t>
      </w:r>
      <w:r>
        <w:rPr>
          <w:rFonts w:hint="eastAsia" w:ascii="Times New Roman" w:hAnsi="Times New Roman"/>
          <w:vertAlign w:val="superscript"/>
        </w:rPr>
        <w:t>2+</w:t>
      </w:r>
      <w:r>
        <w:rPr>
          <w:rFonts w:hint="eastAsia" w:ascii="Times New Roman" w:hAnsi="Times New Roman"/>
        </w:rPr>
        <w:t>浓度过低，可引起肌肉抽搐</w:t>
      </w:r>
    </w:p>
    <w:p w14:paraId="1CA43ED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4．科研人员通过稀释涂布平板法筛选出高耐受且降解金霉素（C</w:t>
      </w:r>
      <w:r>
        <w:rPr>
          <w:rFonts w:hint="eastAsia" w:ascii="Times New Roman" w:hAnsi="Times New Roman"/>
          <w:vertAlign w:val="subscript"/>
        </w:rPr>
        <w:t>22</w:t>
      </w:r>
      <w:r>
        <w:rPr>
          <w:rFonts w:hint="eastAsia" w:ascii="Times New Roman" w:hAnsi="Times New Roman"/>
        </w:rPr>
        <w:t>H</w:t>
      </w:r>
      <w:r>
        <w:rPr>
          <w:rFonts w:hint="eastAsia" w:ascii="Times New Roman" w:hAnsi="Times New Roman"/>
          <w:vertAlign w:val="subscript"/>
        </w:rPr>
        <w:t>23</w:t>
      </w:r>
      <w:r>
        <w:rPr>
          <w:rFonts w:hint="eastAsia" w:ascii="Times New Roman" w:hAnsi="Times New Roman"/>
        </w:rPr>
        <w:t>ClN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O</w:t>
      </w:r>
      <w:r>
        <w:rPr>
          <w:rFonts w:hint="eastAsia" w:ascii="Times New Roman" w:hAnsi="Times New Roman"/>
          <w:vertAlign w:val="subscript"/>
        </w:rPr>
        <w:t>8</w:t>
      </w:r>
      <w:r>
        <w:rPr>
          <w:rFonts w:hint="eastAsia" w:ascii="Times New Roman" w:hAnsi="Times New Roman"/>
        </w:rPr>
        <w:t>）能力强的菌株，旨在解决金霉素过量使用所导致的环境污染问题。下列叙述错误的是（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AEDDED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A．以金霉素为唯一碳源可制备选择培养基</w:t>
      </w:r>
    </w:p>
    <w:p w14:paraId="0611093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B．逐步提高培养基中金霉素的浓度有助于获得高耐受的菌株</w:t>
      </w:r>
    </w:p>
    <w:p w14:paraId="38A132D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C．配制选择培养基时，需确保pH满足实验要求</w:t>
      </w:r>
    </w:p>
    <w:p w14:paraId="686F0FB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D．用接种环将菌液均匀地涂布在培养基表面</w:t>
      </w:r>
    </w:p>
    <w:p w14:paraId="5266B66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5．下图为某森林生态系统的部分食物网。下列叙述正确的是（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26361235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390650" cy="10820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2881" cy="10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59F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A．图中的生物及其非生物环境构成生态系统</w:t>
      </w:r>
    </w:p>
    <w:p w14:paraId="385BB9D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B．野猪数量下降时，虎对豹的排斥加剧</w:t>
      </w:r>
    </w:p>
    <w:p w14:paraId="5B5EB7B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C．图中的食物网共由6条食物链组成</w:t>
      </w:r>
    </w:p>
    <w:p w14:paraId="5AA02C4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D．树木同化的能量约有10%~20%流入到野猪</w:t>
      </w:r>
    </w:p>
    <w:p w14:paraId="02E152D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6．为修复矿藏开采对土壤、植被等造成的毁坏，采用生态工程技术对矿区开展生态修复。下列叙述错误的是（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629BF0B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A．修复首先要对土壤进行改良，为植物生长提供条件</w:t>
      </w:r>
    </w:p>
    <w:p w14:paraId="353E967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B．修复应遵循生态工程的协调原理，因地制宜配置物种</w:t>
      </w:r>
    </w:p>
    <w:p w14:paraId="091C8BF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C．修复后，植物多样性提升，丰富了动物栖息环境，促进了群落演替</w:t>
      </w:r>
    </w:p>
    <w:p w14:paraId="585AC4A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D．修复后，生物群落能实现自我更新和维持，体现了生态工程整体原理</w:t>
      </w:r>
    </w:p>
    <w:p w14:paraId="73746D6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7．红藻兼具无性生殖和有性生殖。海蟑螂依赖红藻躲避天敌，并取食红藻表面附生的硅藻，在此过程中携带了红藻的雄配子，使红藻有性生殖成功率提升。下列叙述错误的是（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6AE55C5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A．海蟑螂与红藻存在互惠关系，二者协同进化</w:t>
      </w:r>
    </w:p>
    <w:p w14:paraId="0AF67CC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B．海蟑螂数量减少不利于红藻形成多样的变异</w:t>
      </w:r>
    </w:p>
    <w:p w14:paraId="26F8CB8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C．硅藻附生于红藻，因此二者存在寄生关系</w:t>
      </w:r>
    </w:p>
    <w:p w14:paraId="1299145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D．海蟑螂与红藻的关系类似传粉昆虫与虫媒花</w:t>
      </w:r>
    </w:p>
    <w:p w14:paraId="5DD7B79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8．利用植物组织培养技术获得红豆杉试管苗，有助于解决紫杉醇药源短缺问题。下列叙述正确的是（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29B08FF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A．细胞分裂素和生长素的比例会影响愈伤组织的形成</w:t>
      </w:r>
    </w:p>
    <w:p w14:paraId="115F2D2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B．培养基先分装到锥形瓶，封口后用干热灭菌法灭菌</w:t>
      </w:r>
    </w:p>
    <w:p w14:paraId="72552CB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C．芽原基细胞由于基因选择性表达，不能用作外植体</w:t>
      </w:r>
    </w:p>
    <w:p w14:paraId="5926FAC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D．紫杉醇不能通过细胞产物的工厂化生产来获取，植物组织培养优势明显</w:t>
      </w:r>
    </w:p>
    <w:p w14:paraId="76F866E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9．研究显示，约70%的小鼠体细胞核移植胚胎未能成功发育至囊胚期，且仅有约2%的胚胎移植到代孕母鼠后可正常发育。下列叙述错误的是（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647618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A．体细胞核进入去核的MⅡ期卵母细胞形成重构胚</w:t>
      </w:r>
    </w:p>
    <w:p w14:paraId="54D8CBA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B．移植前胚胎发育率低，可能是植入的体细胞核不能完全恢复分化前的功能状态</w:t>
      </w:r>
    </w:p>
    <w:p w14:paraId="63D161B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C．胚胎移植到代孕母鼠后成活率低，可能是早期胚胎未能及时从滋养层内孵化</w:t>
      </w:r>
    </w:p>
    <w:p w14:paraId="3EFDCA4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D．为提高胚胎成活率，可用胚胎细胞核移植代替体细胞核移植</w:t>
      </w:r>
    </w:p>
    <w:p w14:paraId="6F21303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10．黑暗条件下，叶绿体内膜的载体蛋白NTT顺浓度梯度运输ATP、ADP和Pi的过程示意图如下。其他条件均适宜，下列叙述正确的是（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28487B8D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222500" cy="133858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315" cy="13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06B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A．ATP、ADP和Pi通过NTT时，无需与NTT结合</w:t>
      </w:r>
    </w:p>
    <w:p w14:paraId="3422F2B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B．NTT转运ATP、ADP和Pi的方式为主动运输</w:t>
      </w:r>
    </w:p>
    <w:p w14:paraId="207CD2E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C．图中进入叶绿体基质的ATP均由线粒体产生</w:t>
      </w:r>
    </w:p>
    <w:p w14:paraId="21561A0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D．光照充足，NTT运出ADP的数量会减少甚至停止</w:t>
      </w:r>
    </w:p>
    <w:p w14:paraId="53C9B56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11．下列关于实验操作和现象的叙述错误的是（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4B3071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A．观察叶绿体的形态和分布，需先用低倍镜找到叶绿体再换用高倍镜</w:t>
      </w:r>
    </w:p>
    <w:p w14:paraId="6FD0145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B．用斐林试剂检测梨汁中的还原糖时，需要加热后才能呈现砖红色</w:t>
      </w:r>
    </w:p>
    <w:p w14:paraId="4162CAE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C．将染色后的洋葱根尖置于载玻片上，滴清水并盖上盖玻片即可观察染色体</w:t>
      </w:r>
    </w:p>
    <w:p w14:paraId="1D70368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D．分离菠菜叶中的色素时，因层析液有挥发性，需在通风好的条件下进行</w:t>
      </w:r>
    </w:p>
    <w:p w14:paraId="7F59F88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12．黄毛鼠在不同环境温度下独居或聚群时的耗氧量（代表产热量）测定值见下图。下列叙述正确的是（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40566E56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038350" cy="15855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812" cy="15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F78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A．与20℃相比，10℃时，黄毛鼠产热量增加，散热量减少</w:t>
      </w:r>
    </w:p>
    <w:p w14:paraId="1EEAFB9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B．10℃时，聚群个体的产热量和散热量比独居的多</w:t>
      </w:r>
    </w:p>
    <w:p w14:paraId="66D40DD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C．10℃时，聚群个体下丘脑合成和分泌TRH比独居的少</w:t>
      </w:r>
    </w:p>
    <w:p w14:paraId="228D737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D．聚群是黄毛鼠在低温环境下减少能量消耗的生理性调节</w:t>
      </w:r>
    </w:p>
    <w:p w14:paraId="1637CD5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13．光照、植物激素EBR、脱落酸和赤霉素均参与调节拟南芥种子的萌发，部分作用关系如下图。下列叙述正确的是（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4C522281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3200400" cy="15214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1361" cy="152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23D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A．光敏色素是一类含有色素的脂质化合物     B．图中激素①是赤霉素，激素②是脱落酸</w:t>
      </w:r>
    </w:p>
    <w:p w14:paraId="0FE0406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C．EBR和赤霉素是相抗衡的关系             D．红光和EBR均能诱导拟南芥种子萌发</w:t>
      </w:r>
    </w:p>
    <w:p w14:paraId="0040471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14．下列关于基因表达及其调控的叙述错误的是（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6F63C4F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A．转录和翻译过程中，碱基互补配对的方式不同</w:t>
      </w:r>
    </w:p>
    <w:p w14:paraId="0C49A7D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B．转录时通过RNA聚合酶打开DNA双链</w:t>
      </w:r>
    </w:p>
    <w:p w14:paraId="05939F1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C．某些DNA甲基化可通过抑制基因转录影响生物表型</w:t>
      </w:r>
    </w:p>
    <w:p w14:paraId="088B44C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D．核糖体与mRNA的结合部位形成1个tRNA结合位点</w:t>
      </w:r>
    </w:p>
    <w:p w14:paraId="6B6B9B8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15．某二倍体（2n）植物的三体（2n+1）变异株可正常生长。该变异株减数分裂得到的配子为“n”型和“n+1”型两种，其中“n+1”型的花粉只有约50%的受精率，而卵子不受影响。该变异株自交，假设四体（2n+2）细胞无法存活，预期子一代中三体变异株的比例约为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3794EA60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A．3/5</w:t>
      </w:r>
      <w:r>
        <w:rPr>
          <w:rFonts w:hint="eastAsia" w:ascii="Times New Roman" w:hAnsi="Times New Roman"/>
        </w:rPr>
        <w:t xml:space="preserve">               </w:t>
      </w:r>
      <w:r>
        <w:rPr>
          <w:rFonts w:ascii="Times New Roman" w:hAnsi="Times New Roman"/>
        </w:rPr>
        <w:t>B．3/4</w:t>
      </w:r>
      <w:r>
        <w:rPr>
          <w:rFonts w:hint="eastAsia" w:ascii="Times New Roman" w:hAnsi="Times New Roman"/>
        </w:rPr>
        <w:t xml:space="preserve">                </w:t>
      </w:r>
      <w:r>
        <w:rPr>
          <w:rFonts w:ascii="Times New Roman" w:hAnsi="Times New Roman"/>
        </w:rPr>
        <w:t>C．2/3</w:t>
      </w:r>
      <w:r>
        <w:rPr>
          <w:rFonts w:hint="eastAsia" w:ascii="Times New Roman" w:hAnsi="Times New Roman"/>
        </w:rPr>
        <w:t xml:space="preserve">                 </w:t>
      </w:r>
      <w:r>
        <w:rPr>
          <w:rFonts w:ascii="Times New Roman" w:hAnsi="Times New Roman"/>
        </w:rPr>
        <w:t>D．1/2</w:t>
      </w:r>
    </w:p>
    <w:p w14:paraId="7AA33F9C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二、选择题：本题共5小题，每小题3分，共15分。在每小题给出的四个选项中，有一项或多项是符合题目要求的。全部选对得3分，选对但选不全得1分，有选错得0分。</w:t>
      </w:r>
    </w:p>
    <w:p w14:paraId="7DE16ED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16．下图为植物细胞呼吸的部分反应过程示意图，图中NADH可储存能量，①、②和③表示不同反应阶段。下列叙述正确的是（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14C5DC97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114550" cy="12465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6229" cy="12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529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A．①发生在细胞质基质，②和③发生在线粒体</w:t>
      </w:r>
    </w:p>
    <w:p w14:paraId="222B3D8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B．③中NADH通过一系列的化学反应参与了水的形成</w:t>
      </w:r>
    </w:p>
    <w:p w14:paraId="17E89F5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C．无氧条件下，③不能进行，①和②能正常进行</w:t>
      </w:r>
    </w:p>
    <w:p w14:paraId="7BA2DF2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D．无氧条件下，①产生的NADH中的部分能量转移到ATP中</w:t>
      </w:r>
    </w:p>
    <w:p w14:paraId="7C3CEE9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17．T细胞通过T细胞受体（TCR）识别肿瘤抗原，为研究TCR与抗原结合的亲和力对肿瘤生长的影响，将高、低两种亲和力的特异性T细胞输入至肿瘤模型小鼠，检测肿瘤生长情况（图1）及评估T细胞耗竭程度（图2）。T细胞耗竭指T细胞功能下降和增殖能力减弱，表达耗竭标志物的T细胞比例与其耗竭程度正相关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4C85D0A9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038350" cy="161417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1496" cy="16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454150" cy="1610360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773" cy="16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52D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A．T细胞的抗肿瘤作用体现了免疫自稳功能</w:t>
      </w:r>
    </w:p>
    <w:p w14:paraId="13E7733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B．T细胞在抗肿瘤免疫中不需要抗原呈递细胞参与</w:t>
      </w:r>
    </w:p>
    <w:p w14:paraId="7E50FAA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C．低亲和力T细胞能够抑制肿瘤生长</w:t>
      </w:r>
    </w:p>
    <w:p w14:paraId="2DB26F8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D．高亲和力T细胞更易耗竭且能抑制小鼠的免疫</w:t>
      </w:r>
    </w:p>
    <w:p w14:paraId="168582E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18．某山体公园自然条件下猕猴种群的环境容纳量约为840只。1986年后，游客的投喂和以保护为目的的固定投食，致使猕猴种群数量快速增长，引发了人猴冲突。为减少冲突事件的发生，研究人员做了相关调查，结果如下图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43D80BF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279650" cy="12890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3407" cy="129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C63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A．调查期间猕猴种群的</w:t>
      </w:r>
      <w:r>
        <w:rPr>
          <w:rFonts w:ascii="Times New Roman" w:hAnsi="Times New Roman"/>
        </w:rPr>
        <w:t>λ</w:t>
      </w:r>
      <w:r>
        <w:rPr>
          <w:rFonts w:hint="eastAsia" w:ascii="Times New Roman" w:hAnsi="Times New Roman"/>
        </w:rPr>
        <w:t>&gt;1，若现有条件不变，种群数量会持续增长</w:t>
      </w:r>
    </w:p>
    <w:p w14:paraId="0457106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B．2013年人猴冲突事件减少，是因为猕猴种群数量接近自然条件下的环境容纳量</w:t>
      </w:r>
    </w:p>
    <w:p w14:paraId="1EED91C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C．2016年后，猕猴种群数量超过自然条件下环境容纳量的主要原因是人为投食</w:t>
      </w:r>
    </w:p>
    <w:p w14:paraId="4C13450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D．为保护猕猴和减少人猴冲突，应适时迁出部分猕猴族群达到人与动物和谐相处</w:t>
      </w:r>
    </w:p>
    <w:p w14:paraId="258C735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19．下图是制备抗白细胞介素-6（IL-6）单克隆抗体的示意图。下列叙述错误的是（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0B91B8F6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641600" cy="1241425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021" cy="12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A0C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A．步骤①给小鼠注射IL-6后，应从脾中分离筛选T淋巴细胞</w:t>
      </w:r>
    </w:p>
    <w:p w14:paraId="0320303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B．步骤②在脾组织中加入胃蛋白酶，制成单细胞悬液</w:t>
      </w:r>
    </w:p>
    <w:p w14:paraId="382555A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C．步骤③加入灭活病毒或PEG诱导细胞融合，体现了细胞膜的流动性</w:t>
      </w:r>
    </w:p>
    <w:p w14:paraId="77F7552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D．步骤④经过克隆化培养和抗体检测筛选出了杂交瘤细胞</w:t>
      </w:r>
    </w:p>
    <w:p w14:paraId="57B4632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20．中国养蚕制丝历史悠久。蚕卵的红色、黄色由常染色体上一对等位基因（R/r）控制。将外源绿色蛋白基因（G）导入到纯合的黄卵（rr）、结白茧雌蚕的Z染色体上，获得结绿茧的亲本1，与纯合的红卵、结白茧雄蚕（亲本2）杂交选育红卵、结绿茧的纯合品系。不考虑突变，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02A5103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雌蚕均表现出红卵、结绿茧表型</w:t>
      </w:r>
    </w:p>
    <w:p w14:paraId="03A4365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雄蚕次级精母细胞中的基因组成可能有RRGG、rr等类型</w:t>
      </w:r>
    </w:p>
    <w:p w14:paraId="1AD0D0C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随机交配得到的F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中，红卵、结绿茧的个体比例是3/8</w:t>
      </w:r>
    </w:p>
    <w:p w14:paraId="5B9E6B0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中红卵、结绿茧的个体随机交配，子代中目的个体的比例是2/9</w:t>
      </w:r>
    </w:p>
    <w:p w14:paraId="70778D99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三、非选择题：本题共5小题，共55分。</w:t>
      </w:r>
    </w:p>
    <w:p w14:paraId="66799F1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21．（11分）Rubisco是光合作用暗反应中的关键酶。科研人员将Rubisco基因转入某作物的野生型（WT）获得该酶含量增加的转基因品系（S），并做了相关研究。实验结果表明，这一改良提高了该作物的光合速率（如下图）和产量潜力。回答下列问题。</w:t>
      </w:r>
    </w:p>
    <w:p w14:paraId="2E57BDCA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647950" cy="176276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0498" cy="176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BEAA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（1）Rubisco在叶绿体的</w:t>
      </w:r>
      <w:bookmarkStart w:id="0" w:name="OLE_LINK7"/>
      <w:bookmarkStart w:id="1" w:name="OLE_LINK28"/>
      <w:bookmarkStart w:id="2" w:name="OLE_LINK21"/>
      <w:bookmarkStart w:id="3" w:name="OLE_LINK20"/>
      <w:bookmarkStart w:id="4" w:name="OLE_LINK1"/>
      <w:r>
        <w:rPr>
          <w:rFonts w:ascii="宋体" w:hAnsi="宋体"/>
          <w:szCs w:val="21"/>
        </w:rPr>
        <w:t>________</w:t>
      </w:r>
      <w:bookmarkEnd w:id="0"/>
      <w:bookmarkEnd w:id="1"/>
      <w:bookmarkEnd w:id="2"/>
      <w:bookmarkEnd w:id="3"/>
      <w:bookmarkEnd w:id="4"/>
      <w:r>
        <w:rPr>
          <w:rFonts w:hint="eastAsia" w:ascii="Times New Roman" w:hAnsi="Times New Roman"/>
        </w:rPr>
        <w:t>中催化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与CO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结合。部分产物经过一系列反应形成（CH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O），这一过程中能量转换是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7D2190CC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（2）据图分析，当胞间CO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浓度高于B点时，曲线②与③重合是由于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不足。A点之前曲线①和②重合的最主要限制因素是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。胞间CO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浓度为300</w:t>
      </w:r>
      <w:r>
        <w:rPr>
          <w:rFonts w:ascii="Times New Roman" w:hAnsi="Times New Roman"/>
        </w:rPr>
        <w:t>μ</w:t>
      </w:r>
      <w:r>
        <w:rPr>
          <w:rFonts w:hint="eastAsia" w:ascii="Times New Roman" w:hAnsi="Times New Roman"/>
        </w:rPr>
        <w:t>mol·mol</w:t>
      </w:r>
      <w:r>
        <w:rPr>
          <w:rFonts w:hint="eastAsia" w:ascii="Times New Roman" w:hAnsi="Times New Roman"/>
          <w:vertAlign w:val="superscript"/>
        </w:rPr>
        <w:t>-1</w:t>
      </w:r>
      <w:r>
        <w:rPr>
          <w:rFonts w:hint="eastAsia" w:ascii="Times New Roman" w:hAnsi="Times New Roman"/>
        </w:rPr>
        <w:t>时，曲线①比②的光合速率高的具体原因是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623F4EF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（3）研究发现，在饱和光照和适宜CO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浓度条件下，S植株固定CO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生成C</w:t>
      </w:r>
      <w:r>
        <w:rPr>
          <w:rFonts w:hint="eastAsia" w:ascii="Times New Roman" w:hAnsi="Times New Roman"/>
          <w:vertAlign w:val="subscript"/>
        </w:rPr>
        <w:t>3</w:t>
      </w:r>
      <w:r>
        <w:rPr>
          <w:rFonts w:hint="eastAsia" w:ascii="Times New Roman" w:hAnsi="Times New Roman"/>
        </w:rPr>
        <w:t>的速率比WT更快。使用同位素标记的方法设计实验直接加以验证，简要写出实验思路。</w:t>
      </w:r>
    </w:p>
    <w:p w14:paraId="63C9D2F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22．（11分）躯干四肢疼痛信息需依次经脊髓背根神经节、脊髓、丘脑三级神经元，传递至大脑躯体感觉皮层产生痛觉（如图1）。回答下列问题。</w:t>
      </w:r>
    </w:p>
    <w:p w14:paraId="04E59591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3168650" cy="18478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4866" cy="18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A8E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（1）局部组织损伤时，会释放致痛物质（缓激肽等），使感受器产生电信号。该信号沿图1所示通路传至大脑躯体感觉皮层产生痛觉的过程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（填“是”或“不是”）反射；该信号传递至下一级神经元时，需经过的信号转换是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；该信号也可以从传入神经纤维分叉处传向另一末梢分支，引起P物质等的释放，加强感受器活动，通过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（填“正反馈”或“负反馈”）调节造成持续疼痛。</w:t>
      </w:r>
    </w:p>
    <w:p w14:paraId="17EBB33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电针疗法是用带微弱电流的针灸针刺激特定穴位的镇痛疗法。背根神经节中表达的P2X蛋白在痛觉信号传入中发挥重要作用，为探究电针疗法的镇痛效果及其机制，进行的动物实验处理（表）及结果（图2）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6"/>
        <w:gridCol w:w="1219"/>
        <w:gridCol w:w="1236"/>
      </w:tblGrid>
      <w:tr w14:paraId="673D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6" w:type="dxa"/>
            <w:vAlign w:val="center"/>
          </w:tcPr>
          <w:p w14:paraId="0412A26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动物模型</w:t>
            </w:r>
          </w:p>
        </w:tc>
        <w:tc>
          <w:tcPr>
            <w:tcW w:w="1219" w:type="dxa"/>
            <w:vAlign w:val="center"/>
          </w:tcPr>
          <w:p w14:paraId="4A8435C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分组</w:t>
            </w:r>
          </w:p>
        </w:tc>
        <w:tc>
          <w:tcPr>
            <w:tcW w:w="1236" w:type="dxa"/>
            <w:vAlign w:val="center"/>
          </w:tcPr>
          <w:p w14:paraId="6897E40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治疗处理</w:t>
            </w:r>
          </w:p>
        </w:tc>
      </w:tr>
      <w:tr w14:paraId="1CE7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6" w:type="dxa"/>
            <w:vAlign w:val="center"/>
          </w:tcPr>
          <w:p w14:paraId="7AAF81F2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对照组：在正常大鼠足掌皮下注射生理盐水</w:t>
            </w:r>
          </w:p>
        </w:tc>
        <w:tc>
          <w:tcPr>
            <w:tcW w:w="1219" w:type="dxa"/>
            <w:vAlign w:val="center"/>
          </w:tcPr>
          <w:p w14:paraId="741B85E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1236" w:type="dxa"/>
            <w:vAlign w:val="center"/>
          </w:tcPr>
          <w:p w14:paraId="18C9B750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不治疗</w:t>
            </w:r>
          </w:p>
        </w:tc>
      </w:tr>
      <w:tr w14:paraId="7D177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6" w:type="dxa"/>
            <w:vMerge w:val="restart"/>
            <w:vAlign w:val="center"/>
          </w:tcPr>
          <w:p w14:paraId="7D735F03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疼痛模型组：在正常大鼠足掌皮下注射等体积致痛物质诱导剂</w:t>
            </w:r>
          </w:p>
        </w:tc>
        <w:tc>
          <w:tcPr>
            <w:tcW w:w="1219" w:type="dxa"/>
            <w:vAlign w:val="center"/>
          </w:tcPr>
          <w:p w14:paraId="53806A0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1236" w:type="dxa"/>
            <w:vAlign w:val="center"/>
          </w:tcPr>
          <w:p w14:paraId="3DC318D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不治疗</w:t>
            </w:r>
          </w:p>
        </w:tc>
      </w:tr>
      <w:tr w14:paraId="5C42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6" w:type="dxa"/>
            <w:vMerge w:val="continue"/>
            <w:vAlign w:val="center"/>
          </w:tcPr>
          <w:p w14:paraId="0C0CA798">
            <w:pPr>
              <w:spacing w:line="288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00F887C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</w:p>
        </w:tc>
        <w:tc>
          <w:tcPr>
            <w:tcW w:w="1236" w:type="dxa"/>
            <w:vAlign w:val="center"/>
          </w:tcPr>
          <w:p w14:paraId="744448F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电针治疗</w:t>
            </w:r>
          </w:p>
        </w:tc>
      </w:tr>
    </w:tbl>
    <w:p w14:paraId="1AC1B50D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752600" cy="141033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5033" cy="14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5361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设置A组作为对照组的具体目的是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和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。疼痛阈值与痛觉敏感性呈负相关，由结果推测电针疗法可能通过抑制P2X的表达发挥一定的镇痛作用，依据是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78507B24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（3）镇痛药物通常分为麻醉性（长期或超量使用易成瘾）和非麻醉性。从痛觉传入通路的角度分析，药物镇痛可能的作用机理有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和抑制突触信息传递。若某人患有反复发作的中轻度颈肩痛，以上镇痛疗法，不宜选择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6C22B18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23．（11分）粪甲虫是一类嗜粪昆虫的总称，其中金龟科和蜉金龟科粪甲虫以粪便为食，隐翅虫科则主要捕食粪便中滋生的某些小型无脊椎动物。大环内酯类兽药（ML）可以有效治疗畜禽的呼吸道疾病，但其在粪便中的残留会显著影响一些粪甲虫的存活和后代孵化。回答下列问题。</w:t>
      </w:r>
    </w:p>
    <w:p w14:paraId="7A5EC95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（1）草原生态系统粪甲虫种类繁多，体现了生物多样性中的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。金龟科和蜉金龟科粪甲虫能够快速分解草场中的粪便，促进土壤养分循环，体现了生物多样性的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价值。</w:t>
      </w:r>
    </w:p>
    <w:p w14:paraId="78D7580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（2）用箭头连接下列草原生态系统中的关键因子，完成碳循环模型。</w:t>
      </w:r>
    </w:p>
    <w:p w14:paraId="5AA323C6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393950" cy="1132205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5511" cy="113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9B2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（3）对使用ML前后同一草场的粪甲虫进行调查，通常采用陷阱法取样，陷阱位置的选择应符合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原则；陷阱中新鲜牛粪的气味吸引粪甲虫，属于生态系统中的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信息传递。</w:t>
      </w:r>
    </w:p>
    <w:p w14:paraId="03C6357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（4）分类统计诱捕到的粪甲虫，结果见下表。由表可知，ML使用后粪甲虫数量明显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，优势科变为了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（填科名），这种变化将会使草场牛粪的清除速度下降，影响草场的生态功能。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275"/>
        <w:gridCol w:w="1236"/>
        <w:gridCol w:w="2403"/>
        <w:gridCol w:w="1236"/>
      </w:tblGrid>
      <w:tr w14:paraId="1F6C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Merge w:val="restart"/>
            <w:vAlign w:val="center"/>
          </w:tcPr>
          <w:p w14:paraId="7B192D35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粪甲虫种类</w:t>
            </w:r>
          </w:p>
        </w:tc>
        <w:tc>
          <w:tcPr>
            <w:tcW w:w="3511" w:type="dxa"/>
            <w:gridSpan w:val="2"/>
            <w:vAlign w:val="center"/>
          </w:tcPr>
          <w:p w14:paraId="2F80AC3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ML使用前</w:t>
            </w:r>
          </w:p>
        </w:tc>
        <w:tc>
          <w:tcPr>
            <w:tcW w:w="3639" w:type="dxa"/>
            <w:gridSpan w:val="2"/>
            <w:vAlign w:val="center"/>
          </w:tcPr>
          <w:p w14:paraId="17AC692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ML使用后</w:t>
            </w:r>
          </w:p>
        </w:tc>
      </w:tr>
      <w:tr w14:paraId="51DC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Merge w:val="continue"/>
            <w:vAlign w:val="center"/>
          </w:tcPr>
          <w:p w14:paraId="2AC5F88C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75" w:type="dxa"/>
            <w:vAlign w:val="center"/>
          </w:tcPr>
          <w:p w14:paraId="6B60B9C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平均数量/（只/陷阱）</w:t>
            </w:r>
          </w:p>
        </w:tc>
        <w:tc>
          <w:tcPr>
            <w:tcW w:w="1236" w:type="dxa"/>
            <w:vAlign w:val="center"/>
          </w:tcPr>
          <w:p w14:paraId="7359F63E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个体占比</w:t>
            </w:r>
          </w:p>
        </w:tc>
        <w:tc>
          <w:tcPr>
            <w:tcW w:w="2403" w:type="dxa"/>
            <w:vAlign w:val="center"/>
          </w:tcPr>
          <w:p w14:paraId="08BF462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平均数量/（只/陷阱）</w:t>
            </w:r>
          </w:p>
        </w:tc>
        <w:tc>
          <w:tcPr>
            <w:tcW w:w="1236" w:type="dxa"/>
            <w:vAlign w:val="center"/>
          </w:tcPr>
          <w:p w14:paraId="59CC6DC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个体占比</w:t>
            </w:r>
          </w:p>
        </w:tc>
      </w:tr>
      <w:tr w14:paraId="0024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2A7B64A0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蜉金龟科</w:t>
            </w:r>
          </w:p>
        </w:tc>
        <w:tc>
          <w:tcPr>
            <w:tcW w:w="2275" w:type="dxa"/>
            <w:vAlign w:val="center"/>
          </w:tcPr>
          <w:p w14:paraId="757344A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121.7</w:t>
            </w:r>
          </w:p>
        </w:tc>
        <w:tc>
          <w:tcPr>
            <w:tcW w:w="1236" w:type="dxa"/>
            <w:vAlign w:val="center"/>
          </w:tcPr>
          <w:p w14:paraId="68557DF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62.3</w:t>
            </w:r>
            <w:r>
              <w:rPr>
                <w:rFonts w:ascii="Times New Roman" w:hAnsi="Times New Roman"/>
              </w:rPr>
              <w:t>%</w:t>
            </w:r>
          </w:p>
        </w:tc>
        <w:tc>
          <w:tcPr>
            <w:tcW w:w="2403" w:type="dxa"/>
            <w:vAlign w:val="center"/>
          </w:tcPr>
          <w:p w14:paraId="0B467A7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29.9</w:t>
            </w:r>
          </w:p>
        </w:tc>
        <w:tc>
          <w:tcPr>
            <w:tcW w:w="1236" w:type="dxa"/>
            <w:vAlign w:val="center"/>
          </w:tcPr>
          <w:p w14:paraId="0BE8F6A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44.4</w:t>
            </w:r>
            <w:r>
              <w:rPr>
                <w:rFonts w:ascii="Times New Roman" w:hAnsi="Times New Roman"/>
              </w:rPr>
              <w:t>%</w:t>
            </w:r>
          </w:p>
        </w:tc>
      </w:tr>
      <w:tr w14:paraId="4B62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458F403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金龟科</w:t>
            </w:r>
          </w:p>
        </w:tc>
        <w:tc>
          <w:tcPr>
            <w:tcW w:w="2275" w:type="dxa"/>
            <w:vAlign w:val="center"/>
          </w:tcPr>
          <w:p w14:paraId="0119703F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73.7</w:t>
            </w:r>
          </w:p>
        </w:tc>
        <w:tc>
          <w:tcPr>
            <w:tcW w:w="1236" w:type="dxa"/>
            <w:vAlign w:val="center"/>
          </w:tcPr>
          <w:p w14:paraId="299F6C5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37.7</w:t>
            </w:r>
            <w:r>
              <w:rPr>
                <w:rFonts w:ascii="Times New Roman" w:hAnsi="Times New Roman"/>
              </w:rPr>
              <w:t>%</w:t>
            </w:r>
          </w:p>
        </w:tc>
        <w:tc>
          <w:tcPr>
            <w:tcW w:w="2403" w:type="dxa"/>
            <w:vAlign w:val="center"/>
          </w:tcPr>
          <w:p w14:paraId="3BDD71E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0.8</w:t>
            </w:r>
          </w:p>
        </w:tc>
        <w:tc>
          <w:tcPr>
            <w:tcW w:w="1236" w:type="dxa"/>
            <w:vAlign w:val="center"/>
          </w:tcPr>
          <w:p w14:paraId="50A38279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>%</w:t>
            </w:r>
          </w:p>
        </w:tc>
      </w:tr>
      <w:tr w14:paraId="03E3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558B3BCF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隐翅虫科</w:t>
            </w:r>
          </w:p>
        </w:tc>
        <w:tc>
          <w:tcPr>
            <w:tcW w:w="2275" w:type="dxa"/>
            <w:vAlign w:val="center"/>
          </w:tcPr>
          <w:p w14:paraId="0467F99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</w:t>
            </w:r>
          </w:p>
        </w:tc>
        <w:tc>
          <w:tcPr>
            <w:tcW w:w="1236" w:type="dxa"/>
            <w:vAlign w:val="center"/>
          </w:tcPr>
          <w:p w14:paraId="0B8053F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</w:t>
            </w:r>
          </w:p>
        </w:tc>
        <w:tc>
          <w:tcPr>
            <w:tcW w:w="2403" w:type="dxa"/>
            <w:vAlign w:val="center"/>
          </w:tcPr>
          <w:p w14:paraId="0B47FBE0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36.6</w:t>
            </w:r>
          </w:p>
        </w:tc>
        <w:tc>
          <w:tcPr>
            <w:tcW w:w="1236" w:type="dxa"/>
            <w:vAlign w:val="center"/>
          </w:tcPr>
          <w:p w14:paraId="3594622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54.4</w:t>
            </w:r>
            <w:r>
              <w:rPr>
                <w:rFonts w:ascii="Times New Roman" w:hAnsi="Times New Roman"/>
              </w:rPr>
              <w:t>%</w:t>
            </w:r>
          </w:p>
        </w:tc>
      </w:tr>
    </w:tbl>
    <w:p w14:paraId="4291D99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（5）为了维持草场畜牧业的可持续发展，降低兽药残留对当地粪甲虫的影响，可采用的方法包括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。（多选）</w:t>
      </w:r>
    </w:p>
    <w:p w14:paraId="626D4E1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A．研发低残留、易降解兽药                 B．制定严格用药指南，避免过量使用兽药</w:t>
      </w:r>
    </w:p>
    <w:p w14:paraId="5A305CF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C．引入新的粪甲虫种类                     D．培育抗病力强的牲畜品种减少兽药使用</w:t>
      </w:r>
    </w:p>
    <w:p w14:paraId="37593F1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24．（11分）科学家系统解析了豌豆7对性状的遗传基础，以下为部分实验，回答下列问题。</w:t>
      </w:r>
    </w:p>
    <w:p w14:paraId="6054B93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（1）将控制花腋生和顶生性状的基因定位于4号染色体上，用F/f表示。在大多数腋生纯系与顶生纯系的杂交中，F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腋生</w:t>
      </w:r>
      <w:r>
        <w:rPr>
          <w:rFonts w:hint="eastAsia" w:ascii="宋体" w:hAnsi="宋体"/>
        </w:rPr>
        <w:t>:</w:t>
      </w:r>
      <w:r>
        <w:rPr>
          <w:rFonts w:hint="eastAsia" w:ascii="Times New Roman" w:hAnsi="Times New Roman"/>
        </w:rPr>
        <w:t>顶生约为3</w:t>
      </w:r>
      <w:r>
        <w:rPr>
          <w:rFonts w:hint="eastAsia" w:ascii="宋体" w:hAnsi="宋体"/>
        </w:rPr>
        <w:t>:</w:t>
      </w:r>
      <w:r>
        <w:rPr>
          <w:rFonts w:hint="eastAsia" w:ascii="Times New Roman" w:hAnsi="Times New Roman"/>
        </w:rPr>
        <w:t>1，符合孟德尔的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定律。</w:t>
      </w:r>
    </w:p>
    <w:p w14:paraId="68385B17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（2）然而，某顶生个体自交，子代个体中20%以上表现为腋生。此现象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（填“能”或“不能”）用基因突变来解释，原因是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380CF4C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（3）定位于6号染色体上的基因D/d可能与（2）中的现象有关。为了验证这个假设，用两种纯种豌豆杂交得到F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，F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自交产生的F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表型和基因型的对应关系如下表，表格内“+”、“</w:t>
      </w:r>
      <w:r>
        <w:rPr>
          <w:rFonts w:hint="eastAsia" w:ascii="宋体" w:hAnsi="宋体"/>
        </w:rPr>
        <w:t>-</w:t>
      </w:r>
      <w:r>
        <w:rPr>
          <w:rFonts w:hint="eastAsia" w:ascii="Times New Roman" w:hAnsi="Times New Roman"/>
        </w:rPr>
        <w:t>”分别表示有、无相应基因型的个体。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942"/>
        <w:gridCol w:w="942"/>
        <w:gridCol w:w="942"/>
        <w:gridCol w:w="943"/>
        <w:gridCol w:w="942"/>
        <w:gridCol w:w="942"/>
        <w:gridCol w:w="943"/>
      </w:tblGrid>
      <w:tr w14:paraId="605A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  <w:gridSpan w:val="4"/>
            <w:vAlign w:val="center"/>
          </w:tcPr>
          <w:p w14:paraId="791974AD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腋生表型</w:t>
            </w:r>
          </w:p>
        </w:tc>
        <w:tc>
          <w:tcPr>
            <w:tcW w:w="3770" w:type="dxa"/>
            <w:gridSpan w:val="4"/>
            <w:vAlign w:val="center"/>
          </w:tcPr>
          <w:p w14:paraId="6DA085C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顶生表型</w:t>
            </w:r>
          </w:p>
        </w:tc>
      </w:tr>
      <w:tr w14:paraId="480B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vAlign w:val="center"/>
          </w:tcPr>
          <w:p w14:paraId="12CB0C4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基因型</w:t>
            </w:r>
          </w:p>
        </w:tc>
        <w:tc>
          <w:tcPr>
            <w:tcW w:w="942" w:type="dxa"/>
            <w:vAlign w:val="center"/>
          </w:tcPr>
          <w:p w14:paraId="63906C5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2" w:type="dxa"/>
            <w:vAlign w:val="center"/>
          </w:tcPr>
          <w:p w14:paraId="3BA626E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2" w:type="dxa"/>
            <w:vAlign w:val="center"/>
          </w:tcPr>
          <w:p w14:paraId="1D7B7C5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ff</w:t>
            </w:r>
          </w:p>
        </w:tc>
        <w:tc>
          <w:tcPr>
            <w:tcW w:w="943" w:type="dxa"/>
            <w:vAlign w:val="center"/>
          </w:tcPr>
          <w:p w14:paraId="5EDF9C9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基因型</w:t>
            </w:r>
          </w:p>
        </w:tc>
        <w:tc>
          <w:tcPr>
            <w:tcW w:w="942" w:type="dxa"/>
            <w:vAlign w:val="center"/>
          </w:tcPr>
          <w:p w14:paraId="78F2936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2" w:type="dxa"/>
            <w:vAlign w:val="center"/>
          </w:tcPr>
          <w:p w14:paraId="5513B53D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3" w:type="dxa"/>
            <w:vAlign w:val="center"/>
          </w:tcPr>
          <w:p w14:paraId="3A083005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ff</w:t>
            </w:r>
          </w:p>
        </w:tc>
      </w:tr>
      <w:tr w14:paraId="4242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vAlign w:val="center"/>
          </w:tcPr>
          <w:p w14:paraId="3720D1B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3DBB873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2FB5641F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5DEDEA4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759EB4B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2E521CC9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2" w:type="dxa"/>
            <w:vAlign w:val="center"/>
          </w:tcPr>
          <w:p w14:paraId="5CA0E1B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52AF7D45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</w:tr>
      <w:tr w14:paraId="6331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vAlign w:val="center"/>
          </w:tcPr>
          <w:p w14:paraId="30B4A25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182A9A1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42CC94A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0B49305E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7D677D1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3EB08CD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2" w:type="dxa"/>
            <w:vAlign w:val="center"/>
          </w:tcPr>
          <w:p w14:paraId="439B2F1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4B5FA60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</w:tr>
      <w:tr w14:paraId="79BC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vAlign w:val="center"/>
          </w:tcPr>
          <w:p w14:paraId="7A5B7FD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13D9A91B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00C2B8A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1154D38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3" w:type="dxa"/>
            <w:vAlign w:val="center"/>
          </w:tcPr>
          <w:p w14:paraId="78FEED2B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7CFB1F8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2" w:type="dxa"/>
            <w:vAlign w:val="center"/>
          </w:tcPr>
          <w:p w14:paraId="6F58E13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61A02C1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</w:tr>
    </w:tbl>
    <w:p w14:paraId="3A9B3A6B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结果证实了上述假设，则F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中腋生</w:t>
      </w:r>
      <w:r>
        <w:rPr>
          <w:rFonts w:hint="eastAsia" w:ascii="宋体" w:hAnsi="宋体"/>
        </w:rPr>
        <w:t>:</w:t>
      </w:r>
      <w:r>
        <w:rPr>
          <w:rFonts w:hint="eastAsia" w:ascii="Times New Roman" w:hAnsi="Times New Roman"/>
        </w:rPr>
        <w:t>顶生的理论比例为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，并可推出（2）中顶生亲本的基因型是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5347FC0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（4）研究发现群体中控制黄色子叶的Y基因有两种突变形式y-1和y-2，基因结构示意图如下。Y突变为y-1导致其表达的蛋白功能丧失，Y突变为y-2导致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Times New Roman" w:hAnsi="Times New Roman"/>
        </w:rPr>
        <w:t>y-1和y-2纯合突变体都表现为绿色子叶。</w:t>
      </w:r>
    </w:p>
    <w:p w14:paraId="18664C70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3149600" cy="1092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7861" cy="10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D9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在一次y-1纯合体与y-2纯合体杂交中，F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全部为绿色子叶，F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出现黄色子叶个体，这种现象可因减数分裂过程中发生染色体互换引起。图中哪一个位点发生断裂并交换能解释上述现象？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（填“①”或“②”或“③”）。若此F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个体的20个花粉母细胞（精母细胞）在减数分裂中各发生一次此类交换，在减数分裂完成时会产生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个具有正常功能Y基因的子细胞。</w:t>
      </w:r>
    </w:p>
    <w:p w14:paraId="4B2FE5B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25．（11分）香树脂醇具有抗炎等功效，从植物中提取难度大、产率低。通过在酵母菌中表达外源香树脂醇合酶基因N，可高效生产香树脂醇。回答下列问题。</w:t>
      </w:r>
    </w:p>
    <w:p w14:paraId="3FA8DB7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（1）可从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中查询基因N的编码序列，设计特定引物。如图1所示，a链为转录模板链，为保证基因N与质粒pYL正确连接，需在引物1和引物2的5</w:t>
      </w:r>
      <w:r>
        <w:rPr>
          <w:rFonts w:hint="eastAsia" w:ascii="Times New Roman" w:hAnsi="Times New Roman"/>
          <w:i/>
        </w:rPr>
        <w:t>'</w:t>
      </w:r>
      <w:r>
        <w:rPr>
          <w:rFonts w:hint="eastAsia" w:ascii="Times New Roman" w:hAnsi="Times New Roman"/>
        </w:rPr>
        <w:t>端分别引入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和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限制酶识别序列。PCR扩增基因N，特异性酶切后，利用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连接DNA片段，构建重组质粒，大小约9.5kb（kb为千碱基对），假设构建重组质粒前后，质粒pYL对应部分大小基本不变。</w:t>
      </w:r>
    </w:p>
    <w:p w14:paraId="3EFF61CF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476500" cy="24066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652270" cy="2159000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2296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BF3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（2）进一步筛选构建的质粒，以1-4号菌株中提取的质粒为模板，使用引物1和引物2进行PCR扩增，电泳PCR产物，结果如图2。在第5组的PCR反应中，使用无菌水代替实验组的模板DNA，目的是检验PCR反应中是否有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的污染。初步判断实验组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（从“1~4”中选填）的质粒中成功插入了基因N，理由是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</w:t>
      </w:r>
    </w:p>
    <w:p w14:paraId="684C05E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为提高香树脂醇合酶催化效率，将编码第240位脯氨酸或第243位苯丙氨酸的碱基序列替换为编码丙氨酸的碱基序列，丙氨酸的密码子有GCA等。a是诱变第240位脯氨酸编码序列的引物（GCA为诱变序列），b、c、d其中一条是诱变第243位苯丙氨酸的引物，其配对模板与a的配对模板相同。据此分析，丙氨酸的密码子除GCA外，还有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</w:t>
      </w:r>
    </w:p>
    <w:p w14:paraId="2E82B294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GCA/CCC/GAG/TTC/TGG/CTG/TTT/CCC/TCT/TTC/TTC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35C6EA11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b：5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GAA/CTG/TGG/GAC/ACC/CTG/AAC/TAC/TTC/TCT/GAG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7A123451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c：5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GCC/TGG/CTG/TTT/CCC/TCT/TTC/TTC/CCC/TAC/CAC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4E589022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d：5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GAT/AAT/AAG/ATC/CGA/GAG/AAG/GCC/ATG/CGA/AAG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34E4412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（4）进一步检测转基因酵母菌发酵得到的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 xml:space="preserve">含量并进行比较，可以选出最优的香树脂醇合酶基因的改造方案。 </w:t>
      </w:r>
      <w:bookmarkStart w:id="5" w:name="_GoBack"/>
      <w:bookmarkEnd w:id="5"/>
    </w:p>
    <w:sectPr>
      <w:headerReference r:id="rId3" w:type="default"/>
      <w:footerReference r:id="rId4" w:type="default"/>
      <w:pgSz w:w="11906" w:h="16838"/>
      <w:pgMar w:top="1304" w:right="964" w:bottom="1304" w:left="964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AAD99">
    <w:pPr>
      <w:tabs>
        <w:tab w:val="center" w:pos="4153"/>
        <w:tab w:val="right" w:pos="8306"/>
      </w:tabs>
      <w:snapToGrid w:val="0"/>
      <w:jc w:val="right"/>
      <w:rPr>
        <w:rFonts w:ascii="Times New Roman" w:hAnsi="Times New Roman"/>
        <w:color w:val="000000" w:themeColor="text1"/>
        <w:kern w:val="0"/>
        <w:sz w:val="15"/>
        <w:szCs w:val="15"/>
        <w14:textFill>
          <w14:solidFill>
            <w14:schemeClr w14:val="tx1"/>
          </w14:solidFill>
        </w14:textFill>
      </w:rPr>
    </w:pPr>
    <w:r>
      <w:rPr>
        <w:color w:val="000000" w:themeColor="text1"/>
        <w:sz w:val="15"/>
        <w:szCs w:val="52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F0173A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F0173A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color w:val="000000" w:themeColor="text1"/>
        <w:sz w:val="15"/>
        <w:szCs w:val="15"/>
        <w14:textFill>
          <w14:solidFill>
            <w14:schemeClr w14:val="tx1"/>
          </w14:solidFill>
        </w14:textFill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000000" w:themeColor="text1"/>
        <w:sz w:val="15"/>
        <w:szCs w:val="15"/>
        <w14:textFill>
          <w14:solidFill>
            <w14:schemeClr w14:val="tx1"/>
          </w14:solidFill>
        </w14:textFill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A8CE9">
    <w:pPr>
      <w:pStyle w:val="4"/>
      <w:pBdr>
        <w:bottom w:val="none" w:color="auto" w:sz="0" w:space="0"/>
      </w:pBdr>
    </w:pPr>
    <w:r>
      <w:t xml:space="preserve">   </w:t>
    </w:r>
  </w:p>
  <w:p w14:paraId="4215FE29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455C4"/>
    <w:rsid w:val="000460FF"/>
    <w:rsid w:val="00046B2A"/>
    <w:rsid w:val="00054E7B"/>
    <w:rsid w:val="00074696"/>
    <w:rsid w:val="000E4D02"/>
    <w:rsid w:val="000E4FF1"/>
    <w:rsid w:val="0011250B"/>
    <w:rsid w:val="001177F3"/>
    <w:rsid w:val="0016238F"/>
    <w:rsid w:val="00171458"/>
    <w:rsid w:val="00173C1D"/>
    <w:rsid w:val="001764C3"/>
    <w:rsid w:val="0018010E"/>
    <w:rsid w:val="00191C29"/>
    <w:rsid w:val="001C63DA"/>
    <w:rsid w:val="001D0C6F"/>
    <w:rsid w:val="00201A7E"/>
    <w:rsid w:val="00201C48"/>
    <w:rsid w:val="00204526"/>
    <w:rsid w:val="00221FC9"/>
    <w:rsid w:val="002323D2"/>
    <w:rsid w:val="00244CEF"/>
    <w:rsid w:val="002457C2"/>
    <w:rsid w:val="00245E4D"/>
    <w:rsid w:val="002908F0"/>
    <w:rsid w:val="00294908"/>
    <w:rsid w:val="002A0E5D"/>
    <w:rsid w:val="002A1A21"/>
    <w:rsid w:val="002F06B2"/>
    <w:rsid w:val="003102DB"/>
    <w:rsid w:val="00360479"/>
    <w:rsid w:val="003625C4"/>
    <w:rsid w:val="003731B4"/>
    <w:rsid w:val="00373D0A"/>
    <w:rsid w:val="00380FC5"/>
    <w:rsid w:val="003B1712"/>
    <w:rsid w:val="003C4A95"/>
    <w:rsid w:val="003D0C09"/>
    <w:rsid w:val="003E1FC2"/>
    <w:rsid w:val="004062F6"/>
    <w:rsid w:val="004151FC"/>
    <w:rsid w:val="00430A44"/>
    <w:rsid w:val="00435F83"/>
    <w:rsid w:val="00444A46"/>
    <w:rsid w:val="00445339"/>
    <w:rsid w:val="0046214C"/>
    <w:rsid w:val="0049183B"/>
    <w:rsid w:val="004A5070"/>
    <w:rsid w:val="004B225E"/>
    <w:rsid w:val="004B44B5"/>
    <w:rsid w:val="004C3FBE"/>
    <w:rsid w:val="004D44FD"/>
    <w:rsid w:val="0059145F"/>
    <w:rsid w:val="00596076"/>
    <w:rsid w:val="005B39DB"/>
    <w:rsid w:val="005C2124"/>
    <w:rsid w:val="005F1362"/>
    <w:rsid w:val="005F3A47"/>
    <w:rsid w:val="00605626"/>
    <w:rsid w:val="006071D5"/>
    <w:rsid w:val="00611CEA"/>
    <w:rsid w:val="0062039B"/>
    <w:rsid w:val="00623C16"/>
    <w:rsid w:val="00637D3A"/>
    <w:rsid w:val="00640BF5"/>
    <w:rsid w:val="00662690"/>
    <w:rsid w:val="006D5DE9"/>
    <w:rsid w:val="006F45E0"/>
    <w:rsid w:val="00701D6B"/>
    <w:rsid w:val="007061B2"/>
    <w:rsid w:val="00713BAF"/>
    <w:rsid w:val="00716D85"/>
    <w:rsid w:val="00740A09"/>
    <w:rsid w:val="00762E26"/>
    <w:rsid w:val="007706D9"/>
    <w:rsid w:val="007E5413"/>
    <w:rsid w:val="008028B5"/>
    <w:rsid w:val="0082649F"/>
    <w:rsid w:val="00832EC9"/>
    <w:rsid w:val="008634CD"/>
    <w:rsid w:val="008731FA"/>
    <w:rsid w:val="00880A38"/>
    <w:rsid w:val="00893DD6"/>
    <w:rsid w:val="008D2E94"/>
    <w:rsid w:val="009121D7"/>
    <w:rsid w:val="00974E0F"/>
    <w:rsid w:val="00982128"/>
    <w:rsid w:val="00991592"/>
    <w:rsid w:val="009A27BF"/>
    <w:rsid w:val="009B5666"/>
    <w:rsid w:val="009C4252"/>
    <w:rsid w:val="009D2D70"/>
    <w:rsid w:val="00A07DF2"/>
    <w:rsid w:val="00A405DB"/>
    <w:rsid w:val="00A46D54"/>
    <w:rsid w:val="00A536B0"/>
    <w:rsid w:val="00A91404"/>
    <w:rsid w:val="00AB3EE3"/>
    <w:rsid w:val="00AD4827"/>
    <w:rsid w:val="00AD6B6A"/>
    <w:rsid w:val="00B41A27"/>
    <w:rsid w:val="00B73811"/>
    <w:rsid w:val="00B80D67"/>
    <w:rsid w:val="00B8100F"/>
    <w:rsid w:val="00B96924"/>
    <w:rsid w:val="00BB50C6"/>
    <w:rsid w:val="00BC4942"/>
    <w:rsid w:val="00BF7499"/>
    <w:rsid w:val="00C02815"/>
    <w:rsid w:val="00C02FC6"/>
    <w:rsid w:val="00C13493"/>
    <w:rsid w:val="00C321EB"/>
    <w:rsid w:val="00CA4A07"/>
    <w:rsid w:val="00D12496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008E9"/>
    <w:rsid w:val="00E22C2C"/>
    <w:rsid w:val="00E327C1"/>
    <w:rsid w:val="00E5249E"/>
    <w:rsid w:val="00E63075"/>
    <w:rsid w:val="00E853D8"/>
    <w:rsid w:val="00E97096"/>
    <w:rsid w:val="00E97E6F"/>
    <w:rsid w:val="00EA0188"/>
    <w:rsid w:val="00EB17B4"/>
    <w:rsid w:val="00EC046A"/>
    <w:rsid w:val="00ED1550"/>
    <w:rsid w:val="00ED4F9A"/>
    <w:rsid w:val="00EE1A37"/>
    <w:rsid w:val="00EF7937"/>
    <w:rsid w:val="00F21C80"/>
    <w:rsid w:val="00F24894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38274566"/>
    <w:rsid w:val="5E347759"/>
    <w:rsid w:val="66777E5A"/>
    <w:rsid w:val="ABBBE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Char"/>
    <w:basedOn w:val="7"/>
    <w:link w:val="4"/>
    <w:qFormat/>
    <w:uiPriority w:val="99"/>
    <w:rPr>
      <w:kern w:val="2"/>
      <w:sz w:val="18"/>
      <w:szCs w:val="24"/>
    </w:rPr>
  </w:style>
  <w:style w:type="paragraph" w:styleId="10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C0A722-833A-4A26-B3C6-60A32D0FF6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6051</Words>
  <Characters>6876</Characters>
  <Lines>51</Lines>
  <Paragraphs>14</Paragraphs>
  <TotalTime>1</TotalTime>
  <ScaleCrop>false</ScaleCrop>
  <LinksUpToDate>false</LinksUpToDate>
  <CharactersWithSpaces>7061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2020-02-26T09:07:00Z</dcterms:created>
  <dc:creator>琦</dc:creator>
  <cp:lastModifiedBy>乐</cp:lastModifiedBy>
  <dcterms:modified xsi:type="dcterms:W3CDTF">2025-06-11T05:24:20Z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eyJoZGlkIjoiYWRhODhjMTE2NzkzOGQ2N2I5ZmZmNzY4Njc5NDFkODkiLCJ1c2VySWQiOiI0MzY0MzA0MjMifQ==</vt:lpwstr>
  </property>
  <property fmtid="{D5CDD505-2E9C-101B-9397-08002B2CF9AE}" pid="7" name="KSOProductBuildVer">
    <vt:lpwstr>2052-12.1.0.21171</vt:lpwstr>
  </property>
  <property fmtid="{D5CDD505-2E9C-101B-9397-08002B2CF9AE}" pid="8" name="ICV">
    <vt:lpwstr>A786634459E347E285AAEE51914BB870_12</vt:lpwstr>
  </property>
</Properties>
</file>