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购货订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未审核</w:t>
      </w:r>
      <w:bookmarkStart w:id="0" w:name="_GoBack"/>
      <w:bookmarkEnd w:id="0"/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供应商</w:t>
      </w:r>
      <w:r>
        <w:rPr>
          <w:rFonts w:hint="eastAsia" w:hAnsi="宋体" w:eastAsia="宋体" w:cs="宋体" w:asciiTheme="minorAscii"/>
          <w:lang w:val="zh-CN" w:eastAsia="zh-CN"/>
        </w:rPr>
        <w:t>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要求交货日期：{{ obj.planned_date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收货状态：{{ obj.goods_state }}</w:t>
      </w:r>
      <w:r>
        <w:rPr>
          <w:rFonts w:hint="eastAsia" w:hAnsi="宋体" w:eastAsia="宋体" w:cs="宋体" w:asciiTheme="minorAscii"/>
          <w:lang w:val="en-US" w:eastAsia="zh-CN"/>
        </w:rPr>
        <w:tab/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付</w:t>
      </w:r>
      <w:r>
        <w:rPr>
          <w:rFonts w:hint="eastAsia"/>
          <w:lang w:val="en-US" w:eastAsia="zh-CN"/>
        </w:rPr>
        <w:t>/退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645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834"/>
        <w:gridCol w:w="563"/>
        <w:gridCol w:w="641"/>
        <w:gridCol w:w="704"/>
        <w:gridCol w:w="563"/>
        <w:gridCol w:w="876"/>
        <w:gridCol w:w="876"/>
        <w:gridCol w:w="657"/>
        <w:gridCol w:w="851"/>
        <w:gridCol w:w="720"/>
        <w:gridCol w:w="720"/>
        <w:gridCol w:w="820"/>
        <w:gridCol w:w="820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3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641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0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购货单价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65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851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672" w:hRule="atLeast"/>
        </w:trPr>
        <w:tc>
          <w:tcPr>
            <w:tcW w:w="83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{%tr for line in obj.line_ids %}</w:t>
            </w:r>
          </w:p>
        </w:tc>
        <w:tc>
          <w:tcPr>
            <w:tcW w:w="56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41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56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5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51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83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{{line.goods_id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{{line.attribute_id}}</w:t>
            </w:r>
          </w:p>
        </w:tc>
        <w:tc>
          <w:tcPr>
            <w:tcW w:w="64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quantity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0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quantity_in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line.uom_id }}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line.price }}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65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line.discount_amount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85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line.tax_rate }}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line.tax_amount }}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line.subtotal }}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83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{%tr endfor %}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4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5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5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预付款：{{ obj.prepayment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已执行金额：{{ obj.amount_executed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 xml:space="preserve">approve_uid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9023C2E"/>
    <w:rsid w:val="099D5A09"/>
    <w:rsid w:val="0AB8285E"/>
    <w:rsid w:val="0AD04888"/>
    <w:rsid w:val="0E5E5E25"/>
    <w:rsid w:val="0F413B0F"/>
    <w:rsid w:val="146E75C5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2016-09-26T04:08:53Z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