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sz w:val="22"/>
          <w:szCs w:val="22"/>
          <w:rFonts w:ascii="Bookman Old Style" w:cs="Bookman Old Style" w:eastAsia="Bookman Old Style" w:hAnsi="Bookman Old Style"/>
        </w:rPr>
        <w:t xml:space="preserve">TARIF LAYANAN BADAN LAYANAN UMUM</w:t>
      </w:r>
      <w:r>
        <w:rPr>
          <w:b/>
          <w:bCs/>
          <w:sz w:val="22"/>
          <w:szCs w:val="22"/>
          <w:rFonts w:ascii="Bookman Old Style" w:cs="Bookman Old Style" w:eastAsia="Bookman Old Style" w:hAnsi="Bookman Old Style"/>
        </w:rPr>
        <w:br/>
        <w:t xml:space="preserve">
BALAI BESAR LABORATORIUM KESEHATAN SURABAYA PADA KEMENTERIAN KESEHATAN</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rPr>
          <w:tblHeader/>
        </w:trPr>
        <w:tc>
          <w:tcPr>
            <w:tcW w:type="pct" w:w="5%"/>
            <w:shd w:fill="d9e2f3"/>
          </w:tcPr>
          <w:p>
            <w:pPr>
              <w:jc w:val="center"/>
            </w:pPr>
            <w:r>
              <w:rPr>
                <w:b/>
                <w:bCs/>
                <w:sz w:val="22"/>
                <w:szCs w:val="22"/>
                <w:rFonts w:ascii="Bookman Old Style" w:cs="Bookman Old Style" w:eastAsia="Bookman Old Style" w:hAnsi="Bookman Old Style"/>
              </w:rPr>
              <w:t xml:space="preserve">NO.</w:t>
            </w:r>
          </w:p>
        </w:tc>
        <w:tc>
          <w:tcPr>
            <w:tcW w:type="pct" w:w="35%"/>
            <w:shd w:fill="d9e2f3"/>
            <w:vAlign w:val="center"/>
          </w:tcPr>
          <w:p>
            <w:pPr>
              <w:jc w:val="center"/>
            </w:pPr>
            <w:r>
              <w:rPr>
                <w:b/>
                <w:bCs/>
                <w:sz w:val="22"/>
                <w:szCs w:val="22"/>
                <w:rFonts w:ascii="Bookman Old Style" w:cs="Bookman Old Style" w:eastAsia="Bookman Old Style" w:hAnsi="Bookman Old Style"/>
              </w:rPr>
              <w:t xml:space="preserve">SAAT INI</w:t>
            </w:r>
          </w:p>
        </w:tc>
        <w:tc>
          <w:tcPr>
            <w:tcW w:type="pct" w:w="35%"/>
            <w:shd w:fill="d9e2f3"/>
            <w:vAlign w:val="center"/>
          </w:tcPr>
          <w:p>
            <w:pPr>
              <w:ind w:left="200" w:right="200"/>
              <w:jc w:val="center"/>
            </w:pPr>
            <w:r>
              <w:rPr>
                <w:b/>
                <w:bCs/>
                <w:color w:val="4472c4"/>
                <w:sz w:val="22"/>
                <w:szCs w:val="22"/>
                <w:rFonts w:ascii="Bookman Old Style" w:cs="Bookman Old Style" w:eastAsia="Bookman Old Style" w:hAnsi="Bookman Old Style"/>
              </w:rPr>
              <w:t xml:space="preserve">PERUBAHAN</w:t>
            </w:r>
          </w:p>
        </w:tc>
        <w:tc>
          <w:tcPr>
            <w:tcW w:type="pct" w:w="25%"/>
            <w:shd w:fill="d9e2f3"/>
            <w:vAlign w:val="center"/>
          </w:tcPr>
          <w:p>
            <w:pPr>
              <w:ind w:left="200" w:right="200"/>
              <w:jc w:val="center"/>
            </w:pPr>
            <w:r>
              <w:rPr>
                <w:b/>
                <w:bCs/>
                <w:sz w:val="22"/>
                <w:szCs w:val="22"/>
                <w:rFonts w:ascii="Bookman Old Style" w:cs="Bookman Old Style" w:eastAsia="Bookman Old Style" w:hAnsi="Bookman Old Style"/>
              </w:rPr>
              <w:t xml:space="preserve">KETERANGAN</w:t>
            </w:r>
          </w:p>
        </w:tc>
      </w:tr>
      <w:tr>
        <w:tc>
          <w:tcPr>
            <w:vAlign w:val="center"/>
          </w:tcPr>
          <w:p>
            <w:r>
              <w:t xml:space="preserve"/>
            </w:r>
          </w:p>
        </w:tc>
        <w:tc>
          <w:tcPr>
            <w:shd w:fill="F8E8EE"/>
            <w:vAlign w:val="center"/>
          </w:tcPr>
          <w:p>
            <w:pPr>
              <w:jc w:val="center"/>
            </w:pPr>
            <w:r>
              <w:rPr>
                <w:b/>
                <w:bCs/>
                <w:sz w:val="22"/>
                <w:szCs w:val="22"/>
                <w:rFonts w:ascii="Bookman Old Style" w:cs="Bookman Old Style" w:eastAsia="Bookman Old Style" w:hAnsi="Bookman Old Style"/>
              </w:rPr>
              <w:t xml:space="preserve">Bab I</w:t>
            </w:r>
            <w:r>
              <w:rPr>
                <w:b/>
                <w:bCs/>
                <w:sz w:val="22"/>
                <w:szCs w:val="22"/>
                <w:rFonts w:ascii="Bookman Old Style" w:cs="Bookman Old Style" w:eastAsia="Bookman Old Style" w:hAnsi="Bookman Old Style"/>
              </w:rPr>
              <w:br/>
              <w:t xml:space="preserve">Ketentuan Umum</w:t>
            </w:r>
          </w:p>
        </w:tc>
        <w:tc>
          <w:tcPr>
            <w:vAlign w:val="center"/>
          </w:tcPr>
          <w:p>
            <w:r>
              <w:t xml:space="preserve"/>
            </w:r>
          </w:p>
        </w:tc>
        <w:tc>
          <w:tcPr>
            <w:vAlign w:val="center"/>
          </w:tcPr>
          <w:p>
            <w:r>
              <w:t xml:space="preserve"/>
            </w:r>
          </w:p>
        </w:tc>
      </w:tr>
      <w:tr>
        <w:tc>
          <w:p>
            <w:pPr>
              <w:jc w:val="center"/>
            </w:pPr>
            <w:r>
              <w:t xml:space="preserve">1</w:t>
            </w:r>
          </w:p>
        </w:tc>
        <w:tc>
          <w:p>
            <w:pPr>
              <w:jc w:val="center"/>
            </w:pPr>
            <w:r>
              <w:rPr>
                <w:b/>
                <w:bCs/>
                <w:sz w:val="22"/>
                <w:szCs w:val="22"/>
                <w:rFonts w:ascii="Bookman Old Style" w:cs="Bookman Old Style" w:eastAsia="Bookman Old Style" w:hAnsi="Bookman Old Style"/>
              </w:rPr>
              <w:t xml:space="preserve">Pasal 1</w:t>
            </w:r>
          </w:p>
          <w:p>
            <w:pPr>
              <w:pStyle w:val="ListParagraph"/>
              <w:numPr>
                <w:ilvl w:val="0"/>
                <w:numId w:val="2"/>
              </w:numPr>
              <w:spacing w:after="100" w:before="100"/>
              <w:ind w:left="400" w:right="100"/>
              <w:jc w:val="both"/>
            </w:pPr>
            <w:r>
              <w:rPr>
                <w:sz w:val="22"/>
                <w:szCs w:val="22"/>
                <w:rFonts w:ascii="Bookman Old Style" w:cs="Bookman Old Style" w:eastAsia="Bookman Old Style" w:hAnsi="Bookman Old Style"/>
              </w:rPr>
              <w:t xml:space="preserve">Tarif layanan Badan Layanan Umum Balai Besar Laboratorium Kesehatan Surabaya pada Kementerian Kesehatan merupakan imbalan barang atau jasa layanan yang diberikan oleh Badan Layanan Umum Balai Besar Laboratorium Kesehatan Surabaya pada Kementerian Kesehatan kepada pengguna layanan</w:t>
            </w:r>
          </w:p>
          <w:p>
            <w:pPr>
              <w:pStyle w:val="ListParagraph"/>
              <w:numPr>
                <w:ilvl w:val="0"/>
                <w:numId w:val="2"/>
              </w:numPr>
              <w:spacing w:after="100" w:before="100"/>
              <w:ind w:left="400" w:right="100"/>
              <w:jc w:val="both"/>
            </w:pPr>
            <w:r>
              <w:rPr>
                <w:sz w:val="22"/>
                <w:szCs w:val="22"/>
                <w:rFonts w:ascii="Bookman Old Style" w:cs="Bookman Old Style" w:eastAsia="Bookman Old Style" w:hAnsi="Bookman Old Style"/>
              </w:rPr>
              <w:t xml:space="preserve">Pengguna layanan sebagaimana dimaksud pada ayat 1 terdiri dari masyarakat umum dan pihak penjamin</w:t>
            </w:r>
          </w:p>
          <w:p>
            <w:pPr>
              <w:pStyle w:val="ListParagraph"/>
              <w:numPr>
                <w:ilvl w:val="0"/>
                <w:numId w:val="2"/>
              </w:numPr>
              <w:spacing w:after="100" w:before="100"/>
              <w:ind w:left="400" w:right="100"/>
              <w:jc w:val="both"/>
            </w:pPr>
            <w:r>
              <w:rPr>
                <w:sz w:val="22"/>
                <w:szCs w:val="22"/>
                <w:rFonts w:ascii="Bookman Old Style" w:cs="Bookman Old Style" w:eastAsia="Bookman Old Style" w:hAnsi="Bookman Old Style"/>
              </w:rPr>
              <w:t xml:space="preserve">Pihak penjamin sebagaimana dimaksud pada ayat 2 merupakan pemerintah pusat, pemerintah daerah, dan pihak penjamin lainnya yang menjamin/menanggung biaya pelayanan kesehatan kepada pasien yang menjadi pihak tertanggungnya</w:t>
            </w:r>
          </w:p>
        </w:tc>
        <w:tc>
          <w:tcPr>
            <w:vAlign w:val="center"/>
          </w:tcPr>
          <w:p>
            <w:r>
              <w:t xml:space="preserve"/>
            </w:r>
          </w:p>
        </w:tc>
        <w:tc>
          <w:tcPr>
            <w:vAlign w:val="center"/>
          </w:tcPr>
          <w:p>
            <w:r>
              <w:t xml:space="preserve"/>
            </w:r>
          </w:p>
        </w:tc>
      </w:tr>
      <w:tr>
        <w:tc>
          <w:tcPr>
            <w:vAlign w:val="center"/>
          </w:tcPr>
          <w:p>
            <w:r>
              <w:t xml:space="preserve"/>
            </w:r>
          </w:p>
        </w:tc>
        <w:tc>
          <w:tcPr>
            <w:shd w:fill="F8E8EE"/>
            <w:vAlign w:val="center"/>
          </w:tcPr>
          <w:p>
            <w:pPr>
              <w:jc w:val="center"/>
            </w:pPr>
            <w:r>
              <w:rPr>
                <w:b/>
                <w:bCs/>
                <w:sz w:val="22"/>
                <w:szCs w:val="22"/>
                <w:rFonts w:ascii="Bookman Old Style" w:cs="Bookman Old Style" w:eastAsia="Bookman Old Style" w:hAnsi="Bookman Old Style"/>
              </w:rPr>
              <w:t xml:space="preserve">Bab I</w:t>
            </w:r>
            <w:r>
              <w:rPr>
                <w:b/>
                <w:bCs/>
                <w:sz w:val="22"/>
                <w:szCs w:val="22"/>
                <w:rFonts w:ascii="Bookman Old Style" w:cs="Bookman Old Style" w:eastAsia="Bookman Old Style" w:hAnsi="Bookman Old Style"/>
              </w:rPr>
              <w:br/>
            </w:r>
          </w:p>
        </w:tc>
        <w:tc>
          <w:tcPr>
            <w:vAlign w:val="center"/>
          </w:tcPr>
          <w:p>
            <w:r>
              <w:t xml:space="preserve"/>
            </w:r>
          </w:p>
        </w:tc>
        <w:tc>
          <w:tcPr>
            <w:vAlign w:val="center"/>
          </w:tcPr>
          <w:p>
            <w:r>
              <w:t xml:space="preserve"/>
            </w:r>
          </w:p>
        </w:tc>
      </w:tr>
      <w:tr>
        <w:tc>
          <w:p>
            <w:pPr>
              <w:jc w:val="center"/>
            </w:pPr>
            <w:r>
              <w:t xml:space="preserve">2</w:t>
            </w:r>
          </w:p>
        </w:tc>
        <w:tc>
          <w:p>
            <w:pPr>
              <w:jc w:val="center"/>
            </w:pPr>
            <w:r>
              <w:rPr>
                <w:b/>
                <w:bCs/>
                <w:sz w:val="22"/>
                <w:szCs w:val="22"/>
                <w:rFonts w:ascii="Bookman Old Style" w:cs="Bookman Old Style" w:eastAsia="Bookman Old Style" w:hAnsi="Bookman Old Style"/>
              </w:rPr>
              <w:t xml:space="preserve">Pasal 2</w:t>
            </w:r>
          </w:p>
          <w:p>
            <w:pPr>
              <w:spacing w:after="100" w:before="100"/>
              <w:ind w:left="400" w:right="100"/>
              <w:jc w:val="both"/>
            </w:pPr>
            <w:r>
              <w:rPr>
                <w:sz w:val="22"/>
                <w:szCs w:val="22"/>
                <w:rFonts w:ascii="Bookman Old Style" w:cs="Bookman Old Style" w:eastAsia="Bookman Old Style" w:hAnsi="Bookman Old Style"/>
              </w:rPr>
              <w:t xml:space="preserve">Tarif Layanan sebagaimana dimaksud dalam Pasal 1 ayat 1 terdiri atas</w:t>
            </w:r>
          </w:p>
          <w:p>
            <w:pPr>
              <w:pStyle w:val="ListParagraph"/>
              <w:numPr>
                <w:ilvl w:val="0"/>
                <w:numId w:val="3"/>
              </w:numPr>
              <w:spacing w:after="100" w:before="100"/>
              <w:ind w:left="400" w:right="100"/>
              <w:jc w:val="both"/>
            </w:pPr>
            <w:r>
              <w:rPr>
                <w:sz w:val="22"/>
                <w:szCs w:val="22"/>
                <w:rFonts w:ascii="Bookman Old Style" w:cs="Bookman Old Style" w:eastAsia="Bookman Old Style" w:hAnsi="Bookman Old Style"/>
              </w:rPr>
              <w:t xml:space="preserve">tarif layanan utama; dan</w:t>
            </w:r>
          </w:p>
          <w:p>
            <w:pPr>
              <w:pStyle w:val="ListParagraph"/>
              <w:numPr>
                <w:ilvl w:val="0"/>
                <w:numId w:val="3"/>
              </w:numPr>
              <w:spacing w:after="100" w:before="100"/>
              <w:ind w:left="400" w:right="100"/>
              <w:jc w:val="both"/>
            </w:pPr>
            <w:r>
              <w:rPr>
                <w:sz w:val="22"/>
                <w:szCs w:val="22"/>
                <w:rFonts w:ascii="Bookman Old Style" w:cs="Bookman Old Style" w:eastAsia="Bookman Old Style" w:hAnsi="Bookman Old Style"/>
              </w:rPr>
              <w:t xml:space="preserve">tarif layanan penunjang</w:t>
            </w:r>
          </w:p>
        </w:tc>
        <w:tc>
          <w:tcPr>
            <w:vAlign w:val="center"/>
          </w:tcPr>
          <w:p>
            <w:r>
              <w:t xml:space="preserve"/>
            </w:r>
          </w:p>
        </w:tc>
        <w:tc>
          <w:tcPr>
            <w:vAlign w:val="center"/>
          </w:tcPr>
          <w:p>
            <w:r>
              <w:t xml:space="preserve"/>
            </w:r>
          </w:p>
        </w:tc>
      </w:tr>
      <w:tr>
        <w:tc>
          <w:p>
            <w:pPr>
              <w:jc w:val="center"/>
            </w:pPr>
            <w:r>
              <w:t xml:space="preserve">3</w:t>
            </w:r>
          </w:p>
        </w:tc>
        <w:tc>
          <w:p>
            <w:pPr>
              <w:jc w:val="center"/>
            </w:pPr>
            <w:r>
              <w:rPr>
                <w:b/>
                <w:bCs/>
                <w:sz w:val="22"/>
                <w:szCs w:val="22"/>
                <w:rFonts w:ascii="Bookman Old Style" w:cs="Bookman Old Style" w:eastAsia="Bookman Old Style" w:hAnsi="Bookman Old Style"/>
              </w:rPr>
              <w:t xml:space="preserve">Pasal 3</w:t>
            </w:r>
          </w:p>
          <w:p>
            <w:pPr>
              <w:spacing w:after="100" w:before="100"/>
              <w:ind w:left="400" w:right="100"/>
              <w:jc w:val="both"/>
            </w:pPr>
            <w:r>
              <w:rPr>
                <w:sz w:val="22"/>
                <w:szCs w:val="22"/>
                <w:rFonts w:ascii="Bookman Old Style" w:cs="Bookman Old Style" w:eastAsia="Bookman Old Style" w:hAnsi="Bookman Old Style"/>
              </w:rPr>
              <w:t xml:space="preserve">Tarif layanan utama sebagaimana dimaksud dalam Pasal 2 huruf a, terdiri atas</w:t>
            </w:r>
          </w:p>
          <w:p>
            <w:pPr>
              <w:pStyle w:val="ListParagraph"/>
              <w:numPr>
                <w:ilvl w:val="0"/>
                <w:numId w:val="4"/>
              </w:numPr>
              <w:spacing w:after="100" w:before="100"/>
              <w:ind w:left="400" w:right="100"/>
              <w:jc w:val="both"/>
            </w:pPr>
            <w:r>
              <w:rPr>
                <w:sz w:val="22"/>
                <w:szCs w:val="22"/>
                <w:rFonts w:ascii="Bookman Old Style" w:cs="Bookman Old Style" w:eastAsia="Bookman Old Style" w:hAnsi="Bookman Old Style"/>
              </w:rPr>
              <w:t xml:space="preserve">tarif pemeriksaan laboratorium klinik dan uji kesehatan</w:t>
            </w:r>
          </w:p>
          <w:p>
            <w:pPr>
              <w:pStyle w:val="ListParagraph"/>
              <w:numPr>
                <w:ilvl w:val="0"/>
                <w:numId w:val="4"/>
              </w:numPr>
              <w:spacing w:after="100" w:before="100"/>
              <w:ind w:left="400" w:right="100"/>
              <w:jc w:val="both"/>
            </w:pPr>
            <w:r>
              <w:rPr>
                <w:sz w:val="22"/>
                <w:szCs w:val="22"/>
                <w:rFonts w:ascii="Bookman Old Style" w:cs="Bookman Old Style" w:eastAsia="Bookman Old Style" w:hAnsi="Bookman Old Style"/>
              </w:rPr>
              <w:t xml:space="preserve">tarif pemeriksaan laboratorium kesehatan masyarakat</w:t>
            </w:r>
          </w:p>
          <w:p>
            <w:pPr>
              <w:pStyle w:val="ListParagraph"/>
              <w:numPr>
                <w:ilvl w:val="0"/>
                <w:numId w:val="4"/>
              </w:numPr>
              <w:spacing w:after="100" w:before="100"/>
              <w:ind w:left="400" w:right="100"/>
              <w:jc w:val="both"/>
            </w:pPr>
            <w:r>
              <w:rPr>
                <w:sz w:val="22"/>
                <w:szCs w:val="22"/>
                <w:rFonts w:ascii="Bookman Old Style" w:cs="Bookman Old Style" w:eastAsia="Bookman Old Style" w:hAnsi="Bookman Old Style"/>
              </w:rPr>
              <w:t xml:space="preserve">tarif pemantapan mutu eksternal; dan</w:t>
            </w:r>
          </w:p>
          <w:p>
            <w:pPr>
              <w:pStyle w:val="ListParagraph"/>
              <w:numPr>
                <w:ilvl w:val="0"/>
                <w:numId w:val="4"/>
              </w:numPr>
              <w:spacing w:after="100" w:before="100"/>
              <w:ind w:left="400" w:right="100"/>
              <w:jc w:val="both"/>
            </w:pPr>
            <w:r>
              <w:rPr>
                <w:sz w:val="22"/>
                <w:szCs w:val="22"/>
                <w:rFonts w:ascii="Bookman Old Style" w:cs="Bookman Old Style" w:eastAsia="Bookman Old Style" w:hAnsi="Bookman Old Style"/>
              </w:rPr>
              <w:t xml:space="preserve">tarif pendidikan dan pelatihan</w:t>
            </w:r>
          </w:p>
        </w:tc>
        <w:tc>
          <w:tcPr>
            <w:vAlign w:val="center"/>
          </w:tcPr>
          <w:p>
            <w:r>
              <w:t xml:space="preserve"/>
            </w:r>
          </w:p>
        </w:tc>
        <w:tc>
          <w:tcPr>
            <w:vAlign w:val="center"/>
          </w:tcPr>
          <w:p>
            <w:r>
              <w:t xml:space="preserve"/>
            </w:r>
          </w:p>
        </w:tc>
      </w:tr>
      <w:tr>
        <w:tc>
          <w:p>
            <w:pPr>
              <w:jc w:val="center"/>
            </w:pPr>
            <w:r>
              <w:t xml:space="preserve">4</w:t>
            </w:r>
          </w:p>
        </w:tc>
        <w:tc>
          <w:p>
            <w:pPr>
              <w:jc w:val="center"/>
            </w:pPr>
            <w:r>
              <w:rPr>
                <w:b/>
                <w:bCs/>
                <w:sz w:val="22"/>
                <w:szCs w:val="22"/>
                <w:rFonts w:ascii="Bookman Old Style" w:cs="Bookman Old Style" w:eastAsia="Bookman Old Style" w:hAnsi="Bookman Old Style"/>
              </w:rPr>
              <w:t xml:space="preserve">Pasal 4</w:t>
            </w:r>
          </w:p>
          <w:p>
            <w:pPr>
              <w:spacing w:after="100" w:before="100"/>
              <w:ind w:left="400" w:right="100"/>
              <w:jc w:val="both"/>
            </w:pPr>
            <w:r>
              <w:rPr>
                <w:sz w:val="22"/>
                <w:szCs w:val="22"/>
                <w:rFonts w:ascii="Bookman Old Style" w:cs="Bookman Old Style" w:eastAsia="Bookman Old Style" w:hAnsi="Bookman Old Style"/>
              </w:rPr>
              <w:t xml:space="preserve">Tarif layanan penunjang sebagaimana dimaksud dalam Pasal 2 huruf b, terdiri atas</w:t>
            </w:r>
          </w:p>
          <w:p>
            <w:pPr>
              <w:pStyle w:val="ListParagraph"/>
              <w:numPr>
                <w:ilvl w:val="0"/>
                <w:numId w:val="5"/>
              </w:numPr>
              <w:spacing w:after="100" w:before="100"/>
              <w:ind w:left="400" w:right="100"/>
              <w:jc w:val="both"/>
            </w:pPr>
            <w:r>
              <w:rPr>
                <w:sz w:val="22"/>
                <w:szCs w:val="22"/>
                <w:rFonts w:ascii="Bookman Old Style" w:cs="Bookman Old Style" w:eastAsia="Bookman Old Style" w:hAnsi="Bookman Old Style"/>
              </w:rPr>
              <w:t xml:space="preserve">tarif penggunaan lahan, gedung, dan bangunan</w:t>
            </w:r>
          </w:p>
          <w:p>
            <w:pPr>
              <w:pStyle w:val="ListParagraph"/>
              <w:numPr>
                <w:ilvl w:val="0"/>
                <w:numId w:val="5"/>
              </w:numPr>
              <w:spacing w:after="100" w:before="100"/>
              <w:ind w:left="400" w:right="100"/>
              <w:jc w:val="both"/>
            </w:pPr>
            <w:r>
              <w:rPr>
                <w:sz w:val="22"/>
                <w:szCs w:val="22"/>
                <w:rFonts w:ascii="Bookman Old Style" w:cs="Bookman Old Style" w:eastAsia="Bookman Old Style" w:hAnsi="Bookman Old Style"/>
              </w:rPr>
              <w:t xml:space="preserve">tarif penggunaan peralatan dan mesin; dan</w:t>
            </w:r>
          </w:p>
          <w:p>
            <w:pPr>
              <w:pStyle w:val="ListParagraph"/>
              <w:numPr>
                <w:ilvl w:val="0"/>
                <w:numId w:val="5"/>
              </w:numPr>
              <w:spacing w:after="100" w:before="100"/>
              <w:ind w:left="400" w:right="100"/>
              <w:jc w:val="both"/>
            </w:pPr>
            <w:r>
              <w:rPr>
                <w:sz w:val="22"/>
                <w:szCs w:val="22"/>
                <w:rFonts w:ascii="Bookman Old Style" w:cs="Bookman Old Style" w:eastAsia="Bookman Old Style" w:hAnsi="Bookman Old Style"/>
              </w:rPr>
              <w:t xml:space="preserve">tarif sarana limbah</w:t>
            </w:r>
          </w:p>
        </w:tc>
        <w:tc>
          <w:tcPr>
            <w:vAlign w:val="center"/>
          </w:tcPr>
          <w:p>
            <w:r>
              <w:t xml:space="preserve"/>
            </w:r>
          </w:p>
        </w:tc>
        <w:tc>
          <w:tcPr>
            <w:vAlign w:val="center"/>
          </w:tcPr>
          <w:p>
            <w:r>
              <w:t xml:space="preserve"/>
            </w:r>
          </w:p>
        </w:tc>
      </w:tr>
      <w:tr>
        <w:tc>
          <w:tcPr>
            <w:vAlign w:val="center"/>
          </w:tcPr>
          <w:p>
            <w:r>
              <w:t xml:space="preserve"/>
            </w:r>
          </w:p>
        </w:tc>
        <w:tc>
          <w:tcPr>
            <w:shd w:fill="F8E8EE"/>
            <w:vAlign w:val="center"/>
          </w:tcPr>
          <w:p>
            <w:pPr>
              <w:jc w:val="center"/>
            </w:pPr>
            <w:r>
              <w:rPr>
                <w:b/>
                <w:bCs/>
                <w:sz w:val="22"/>
                <w:szCs w:val="22"/>
                <w:rFonts w:ascii="Bookman Old Style" w:cs="Bookman Old Style" w:eastAsia="Bookman Old Style" w:hAnsi="Bookman Old Style"/>
              </w:rPr>
              <w:t xml:space="preserve">Bab II</w:t>
            </w:r>
            <w:r>
              <w:rPr>
                <w:b/>
                <w:bCs/>
                <w:sz w:val="22"/>
                <w:szCs w:val="22"/>
                <w:rFonts w:ascii="Bookman Old Style" w:cs="Bookman Old Style" w:eastAsia="Bookman Old Style" w:hAnsi="Bookman Old Style"/>
              </w:rPr>
              <w:br/>
              <w:t xml:space="preserve">Ketentuan Umum Bab II</w:t>
            </w:r>
          </w:p>
        </w:tc>
        <w:tc>
          <w:tcPr>
            <w:vAlign w:val="center"/>
          </w:tcPr>
          <w:p>
            <w:r>
              <w:t xml:space="preserve"/>
            </w:r>
          </w:p>
        </w:tc>
        <w:tc>
          <w:tcPr>
            <w:vAlign w:val="center"/>
          </w:tcPr>
          <w:p>
            <w:r>
              <w:t xml:space="preserve"/>
            </w:r>
          </w:p>
        </w:tc>
      </w:tr>
      <w:tr>
        <w:tc>
          <w:p>
            <w:pPr>
              <w:jc w:val="center"/>
            </w:pPr>
            <w:r>
              <w:t xml:space="preserve">5</w:t>
            </w:r>
          </w:p>
        </w:tc>
        <w:tc>
          <w:p>
            <w:pPr>
              <w:jc w:val="center"/>
            </w:pPr>
            <w:r>
              <w:rPr>
                <w:b/>
                <w:bCs/>
                <w:sz w:val="22"/>
                <w:szCs w:val="22"/>
                <w:rFonts w:ascii="Bookman Old Style" w:cs="Bookman Old Style" w:eastAsia="Bookman Old Style" w:hAnsi="Bookman Old Style"/>
              </w:rPr>
              <w:t xml:space="preserve">Pasal 5</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Tarif layanan utama sebagaimana dimaksud dalam Pasal 3 tercantum dalam Lampiran yang merupakan bagian tidak terpisahkan dari Peraturan Menteri ini</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Penetapan tarif layanan sebagaimana dimaksud pada ayat 1 mempertimbangkan kompleksitas pekerjaan, 4 tarif kompetitor</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Tarif sebagaimana dimaksud pada ayat 1 tidak termasuk biaya transportasi dan akomodasi</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Biaya transportasi dan akomodasi sebagaimana dimaksud pada ayat 3 dibebankan kepada pengguna layanan sesuai dengan ketentuan peraturan perundang- undangan</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Ketentuan lebih lanjut mengenai tata cara pengenaan tarif layanan sebagaimana dimaksud pada ayat 1, ayat (2), dan ayat</w:t>
            </w:r>
          </w:p>
          <w:p>
            <w:pPr>
              <w:pStyle w:val="ListParagraph"/>
              <w:numPr>
                <w:ilvl w:val="0"/>
                <w:numId w:val="6"/>
              </w:numPr>
              <w:spacing w:after="100" w:before="100"/>
              <w:ind w:left="400" w:right="100"/>
              <w:jc w:val="both"/>
            </w:pPr>
            <w:r>
              <w:rPr>
                <w:sz w:val="22"/>
                <w:szCs w:val="22"/>
                <w:rFonts w:ascii="Bookman Old Style" w:cs="Bookman Old Style" w:eastAsia="Bookman Old Style" w:hAnsi="Bookman Old Style"/>
              </w:rPr>
              <w:t xml:space="preserve">diatur oleh Kepala Badan Layanan Umum Balai Besar Laboratorium Kesehatan Surabaya pada Kementerian Kesehatan</w:t>
            </w:r>
          </w:p>
        </w:tc>
        <w:tc>
          <w:tcPr>
            <w:vAlign w:val="center"/>
          </w:tcPr>
          <w:p>
            <w:r>
              <w:t xml:space="preserve"/>
            </w:r>
          </w:p>
        </w:tc>
        <w:tc>
          <w:tcPr>
            <w:vAlign w:val="center"/>
          </w:tcPr>
          <w:p>
            <w:r>
              <w:t xml:space="preserve"/>
            </w:r>
          </w:p>
        </w:tc>
      </w:tr>
      <w:tr>
        <w:tc>
          <w:p>
            <w:pPr>
              <w:jc w:val="center"/>
            </w:pPr>
            <w:r>
              <w:t xml:space="preserve">6</w:t>
            </w:r>
          </w:p>
        </w:tc>
        <w:tc>
          <w:p>
            <w:pPr>
              <w:jc w:val="center"/>
            </w:pPr>
            <w:r>
              <w:rPr>
                <w:b/>
                <w:bCs/>
                <w:sz w:val="22"/>
                <w:szCs w:val="22"/>
                <w:rFonts w:ascii="Bookman Old Style" w:cs="Bookman Old Style" w:eastAsia="Bookman Old Style" w:hAnsi="Bookman Old Style"/>
              </w:rPr>
              <w:t xml:space="preserve">Pasal 6</w:t>
            </w:r>
          </w:p>
          <w:p>
            <w:pPr>
              <w:spacing w:after="100" w:before="100"/>
              <w:ind w:left="400" w:right="100"/>
              <w:jc w:val="both"/>
            </w:pPr>
            <w:r>
              <w:rPr>
                <w:sz w:val="22"/>
                <w:szCs w:val="22"/>
                <w:rFonts w:ascii="Bookman Old Style" w:cs="Bookman Old Style" w:eastAsia="Bookman Old Style" w:hAnsi="Bookman Old Style"/>
              </w:rPr>
              <w:t xml:space="preserve">Tarif layanan penunjang sebagaimana dimaksud dalam Pasal 4 diatur oleh Kepala Badan Layanan Umum Balai Besar Laboratorium Kesehatan Surabaya pada Kementerian Kesehatan sesuai dengan ketentuan peraturan perundang- undangan</w:t>
            </w:r>
          </w:p>
        </w:tc>
        <w:tc>
          <w:tcPr>
            <w:vAlign w:val="center"/>
          </w:tcPr>
          <w:p>
            <w:r>
              <w:t xml:space="preserve"/>
            </w:r>
          </w:p>
        </w:tc>
        <w:tc>
          <w:tcPr>
            <w:vAlign w:val="center"/>
          </w:tcPr>
          <w:p>
            <w:r>
              <w:t xml:space="preserve"/>
            </w:r>
          </w:p>
        </w:tc>
      </w:tr>
      <w:tr>
        <w:tc>
          <w:p>
            <w:pPr>
              <w:jc w:val="center"/>
            </w:pPr>
            <w:r>
              <w:t xml:space="preserve">7</w:t>
            </w:r>
          </w:p>
        </w:tc>
        <w:tc>
          <w:p>
            <w:pPr>
              <w:jc w:val="center"/>
            </w:pPr>
            <w:r>
              <w:rPr>
                <w:b/>
                <w:bCs/>
                <w:sz w:val="22"/>
                <w:szCs w:val="22"/>
                <w:rFonts w:ascii="Bookman Old Style" w:cs="Bookman Old Style" w:eastAsia="Bookman Old Style" w:hAnsi="Bookman Old Style"/>
              </w:rPr>
              <w:t xml:space="preserve">Pasal 7</w:t>
            </w:r>
          </w:p>
          <w:p>
            <w:pPr>
              <w:spacing w:after="100" w:before="100"/>
              <w:ind w:left="400" w:right="100"/>
              <w:jc w:val="both"/>
            </w:pPr>
            <w:r>
              <w:rPr>
                <w:sz w:val="22"/>
                <w:szCs w:val="22"/>
                <w:rFonts w:ascii="Bookman Old Style" w:cs="Bookman Old Style" w:eastAsia="Bookman Old Style" w:hAnsi="Bookman Old Style"/>
              </w:rPr>
              <w:t xml:space="preserve">Tarif penggunaan lahan, gedung, dan bangunan dan tarif penggunaan peralatan dan mesin sebagaimana dimaksud dalam Pasal 4 huruf a dan huruf b memperhitungkan biaya per unit layanan dengan memperhatikan fasilitas dan/atau harga pasar setempat</w:t>
            </w:r>
          </w:p>
        </w:tc>
        <w:tc>
          <w:tcPr>
            <w:vAlign w:val="center"/>
          </w:tcPr>
          <w:p>
            <w:r>
              <w:t xml:space="preserve"/>
            </w:r>
          </w:p>
        </w:tc>
        <w:tc>
          <w:tcPr>
            <w:vAlign w:val="center"/>
          </w:tcPr>
          <w:p>
            <w:r>
              <w:t xml:space="preserve"/>
            </w:r>
          </w:p>
        </w:tc>
      </w:tr>
      <w:tr>
        <w:tc>
          <w:p>
            <w:pPr>
              <w:jc w:val="center"/>
            </w:pPr>
            <w:r>
              <w:t xml:space="preserve">8</w:t>
            </w:r>
          </w:p>
        </w:tc>
        <w:tc>
          <w:p>
            <w:pPr>
              <w:jc w:val="center"/>
            </w:pPr>
            <w:r>
              <w:rPr>
                <w:b/>
                <w:bCs/>
                <w:sz w:val="22"/>
                <w:szCs w:val="22"/>
                <w:rFonts w:ascii="Bookman Old Style" w:cs="Bookman Old Style" w:eastAsia="Bookman Old Style" w:hAnsi="Bookman Old Style"/>
              </w:rPr>
              <w:t xml:space="preserve">Pasal 8</w:t>
            </w:r>
          </w:p>
          <w:p>
            <w:pPr>
              <w:spacing w:after="100" w:before="100"/>
              <w:ind w:left="400" w:right="100"/>
              <w:jc w:val="both"/>
            </w:pPr>
            <w:r>
              <w:rPr>
                <w:sz w:val="22"/>
                <w:szCs w:val="22"/>
                <w:rFonts w:ascii="Bookman Old Style" w:cs="Bookman Old Style" w:eastAsia="Bookman Old Style" w:hAnsi="Bookman Old Style"/>
              </w:rPr>
              <w:t xml:space="preserve">Tarif sarana limbah sebagaimana dimaksud dalam Pasal 4 huruf c memperhitungkan biaya per unit layanan yang paling sedikit meliputi bahan habis pakai, peralatan, dan/atau instruktur pendamping/tenaga ahli</w:t>
            </w:r>
          </w:p>
        </w:tc>
        <w:tc>
          <w:tcPr>
            <w:vAlign w:val="center"/>
          </w:tcPr>
          <w:p>
            <w:r>
              <w:t xml:space="preserve"/>
            </w:r>
          </w:p>
        </w:tc>
        <w:tc>
          <w:tcPr>
            <w:vAlign w:val="center"/>
          </w:tcPr>
          <w:p>
            <w:r>
              <w:t xml:space="preserve"/>
            </w:r>
          </w:p>
        </w:tc>
      </w:tr>
      <w:tr>
        <w:tc>
          <w:tcPr>
            <w:vAlign w:val="center"/>
          </w:tcPr>
          <w:p>
            <w:r>
              <w:t xml:space="preserve"/>
            </w:r>
          </w:p>
        </w:tc>
        <w:tc>
          <w:tcPr>
            <w:shd w:fill="F8E8EE"/>
            <w:vAlign w:val="center"/>
          </w:tcPr>
          <w:p>
            <w:pPr>
              <w:jc w:val="center"/>
            </w:pPr>
            <w:r>
              <w:rPr>
                <w:b/>
                <w:bCs/>
                <w:sz w:val="22"/>
                <w:szCs w:val="22"/>
                <w:rFonts w:ascii="Bookman Old Style" w:cs="Bookman Old Style" w:eastAsia="Bookman Old Style" w:hAnsi="Bookman Old Style"/>
              </w:rPr>
              <w:t xml:space="preserve">Bab III</w:t>
            </w:r>
            <w:r>
              <w:rPr>
                <w:b/>
                <w:bCs/>
                <w:sz w:val="22"/>
                <w:szCs w:val="22"/>
                <w:rFonts w:ascii="Bookman Old Style" w:cs="Bookman Old Style" w:eastAsia="Bookman Old Style" w:hAnsi="Bookman Old Style"/>
              </w:rPr>
              <w:br/>
              <w:t xml:space="preserve">Ketentuan Umum Bab III</w:t>
            </w:r>
          </w:p>
        </w:tc>
        <w:tc>
          <w:tcPr>
            <w:vAlign w:val="center"/>
          </w:tcPr>
          <w:p>
            <w:r>
              <w:t xml:space="preserve"/>
            </w:r>
          </w:p>
        </w:tc>
        <w:tc>
          <w:tcPr>
            <w:vAlign w:val="center"/>
          </w:tcPr>
          <w:p>
            <w:r>
              <w:t xml:space="preserve"/>
            </w:r>
          </w:p>
        </w:tc>
      </w:tr>
      <w:tr>
        <w:tc>
          <w:p>
            <w:pPr>
              <w:jc w:val="center"/>
            </w:pPr>
            <w:r>
              <w:t xml:space="preserve">9</w:t>
            </w:r>
          </w:p>
        </w:tc>
        <w:tc>
          <w:p>
            <w:pPr>
              <w:jc w:val="center"/>
            </w:pPr>
            <w:r>
              <w:rPr>
                <w:b/>
                <w:bCs/>
                <w:sz w:val="22"/>
                <w:szCs w:val="22"/>
                <w:rFonts w:ascii="Bookman Old Style" w:cs="Bookman Old Style" w:eastAsia="Bookman Old Style" w:hAnsi="Bookman Old Style"/>
              </w:rPr>
              <w:t xml:space="preserve">Pasal 9</w:t>
            </w:r>
          </w:p>
          <w:p>
            <w:pPr>
              <w:pStyle w:val="ListParagraph"/>
              <w:numPr>
                <w:ilvl w:val="0"/>
                <w:numId w:val="7"/>
              </w:numPr>
              <w:spacing w:after="100" w:before="100"/>
              <w:ind w:left="400" w:right="100"/>
              <w:jc w:val="both"/>
            </w:pPr>
            <w:r>
              <w:rPr>
                <w:sz w:val="22"/>
                <w:szCs w:val="22"/>
                <w:rFonts w:ascii="Bookman Old Style" w:cs="Bookman Old Style" w:eastAsia="Bookman Old Style" w:hAnsi="Bookman Old Style"/>
              </w:rPr>
              <w:t xml:space="preserve">Badan Layanan Umum Balai Besar Laboratorium Kesehatan Surabaya pada Kementerian Kesehatan dapat memberikan jasa layanan di bidang kesehatan berdasarkan kebutuhan dari pihak pengguna layanan melalui kontrak kerja sama</w:t>
            </w:r>
          </w:p>
          <w:p>
            <w:pPr>
              <w:pStyle w:val="ListParagraph"/>
              <w:numPr>
                <w:ilvl w:val="0"/>
                <w:numId w:val="7"/>
              </w:numPr>
              <w:spacing w:after="100" w:before="100"/>
              <w:ind w:left="400" w:right="100"/>
              <w:jc w:val="both"/>
            </w:pPr>
            <w:r>
              <w:rPr>
                <w:sz w:val="22"/>
                <w:szCs w:val="22"/>
                <w:rFonts w:ascii="Bookman Old Style" w:cs="Bookman Old Style" w:eastAsia="Bookman Old Style" w:hAnsi="Bookman Old Style"/>
              </w:rPr>
              <w:t xml:space="preserve">Jasa layanan di bidang kesehatan dengan pengguna layanan sebagaimana dimaksud pada ayat 1 berupa kerja sama layanan pasien Badan Penyelenggara Jaminan Sosial, Jaminan Kesehatan Daerah, perusahaan asuransi lain, dan bentuk kerja sama layanan kesehatan dengan pengguna layanan lainnya</w:t>
            </w:r>
          </w:p>
          <w:p>
            <w:pPr>
              <w:pStyle w:val="ListParagraph"/>
              <w:numPr>
                <w:ilvl w:val="0"/>
                <w:numId w:val="7"/>
              </w:numPr>
              <w:spacing w:after="100" w:before="100"/>
              <w:ind w:left="400" w:right="100"/>
              <w:jc w:val="both"/>
            </w:pPr>
            <w:r>
              <w:rPr>
                <w:sz w:val="22"/>
                <w:szCs w:val="22"/>
                <w:rFonts w:ascii="Bookman Old Style" w:cs="Bookman Old Style" w:eastAsia="Bookman Old Style" w:hAnsi="Bookman Old Style"/>
              </w:rPr>
              <w:t xml:space="preserve">Tarif jasa layanan di bidang kesehatan sebagaimana dimaksud pada ayat 1 ditetapkan berdasarkan kontrak kerja sama antara Kepala Badan Layanan Umum Balai Besar Laboratorium Kesehatan Surabaya pada Kementerian Kesehatan dengan pihak pengguna layanan</w:t>
            </w:r>
          </w:p>
        </w:tc>
        <w:tc>
          <w:tcPr>
            <w:vAlign w:val="center"/>
          </w:tcPr>
          <w:p>
            <w:r>
              <w:t xml:space="preserve"/>
            </w:r>
          </w:p>
        </w:tc>
        <w:tc>
          <w:tcPr>
            <w:vAlign w:val="center"/>
          </w:tcPr>
          <w:p>
            <w:r>
              <w:t xml:space="preserve"/>
            </w:r>
          </w:p>
        </w:tc>
      </w:tr>
      <w:tr>
        <w:tc>
          <w:p>
            <w:pPr>
              <w:jc w:val="center"/>
            </w:pPr>
            <w:r>
              <w:t xml:space="preserve">10</w:t>
            </w:r>
          </w:p>
        </w:tc>
        <w:tc>
          <w:p>
            <w:pPr>
              <w:jc w:val="center"/>
            </w:pPr>
            <w:r>
              <w:rPr>
                <w:b/>
                <w:bCs/>
                <w:sz w:val="22"/>
                <w:szCs w:val="22"/>
                <w:rFonts w:ascii="Bookman Old Style" w:cs="Bookman Old Style" w:eastAsia="Bookman Old Style" w:hAnsi="Bookman Old Style"/>
              </w:rPr>
              <w:t xml:space="preserve">Pasal 10</w:t>
            </w:r>
          </w:p>
          <w:p>
            <w:pPr>
              <w:pStyle w:val="ListParagraph"/>
              <w:numPr>
                <w:ilvl w:val="0"/>
                <w:numId w:val="8"/>
              </w:numPr>
              <w:spacing w:after="100" w:before="100"/>
              <w:ind w:left="400" w:right="100"/>
              <w:jc w:val="both"/>
            </w:pPr>
            <w:r>
              <w:rPr>
                <w:sz w:val="22"/>
                <w:szCs w:val="22"/>
                <w:rFonts w:ascii="Bookman Old Style" w:cs="Bookman Old Style" w:eastAsia="Bookman Old Style" w:hAnsi="Bookman Old Style"/>
              </w:rPr>
              <w:t xml:space="preserve">Badan Layanan Umum Balai Besar Laboratorium Kesehatan Surabaya pada Kementerian Kesehatan dapat dan/atau kerja sama lainnya dengan pihak lain untuk meningkatkan layanan di bidang kesehatan</w:t>
            </w:r>
          </w:p>
          <w:p>
            <w:pPr>
              <w:pStyle w:val="ListParagraph"/>
              <w:numPr>
                <w:ilvl w:val="0"/>
                <w:numId w:val="8"/>
              </w:numPr>
              <w:spacing w:after="100" w:before="100"/>
              <w:ind w:left="400" w:right="100"/>
              <w:jc w:val="both"/>
            </w:pPr>
            <w:r>
              <w:rPr>
                <w:sz w:val="22"/>
                <w:szCs w:val="22"/>
                <w:rFonts w:ascii="Bookman Old Style" w:cs="Bookman Old Style" w:eastAsia="Bookman Old Style" w:hAnsi="Bookman Old Style"/>
              </w:rPr>
              <w:t xml:space="preserve">Tarif layanan untuk pemanfaatan aset, kerja sama manajemen, dan/atau kerja sama lainnya dengan pihak lain, ditetapkan dalam kontrak kerja sama antara Kepala Badan Layanan Umum Balai Besar Laboratorium Kesehatan Surabaya pada Kementerian Kesehatan dengan pihak lain</w:t>
            </w:r>
          </w:p>
        </w:tc>
        <w:tc>
          <w:tcPr>
            <w:vAlign w:val="center"/>
          </w:tcPr>
          <w:p>
            <w:r>
              <w:t xml:space="preserve"/>
            </w:r>
          </w:p>
        </w:tc>
        <w:tc>
          <w:tcPr>
            <w:vAlign w:val="center"/>
          </w:tcPr>
          <w:p>
            <w:r>
              <w:t xml:space="preserve"/>
            </w:r>
          </w:p>
        </w:tc>
      </w:tr>
      <w:tr>
        <w:tc>
          <w:p>
            <w:pPr>
              <w:jc w:val="center"/>
            </w:pPr>
            <w:r>
              <w:t xml:space="preserve">11</w:t>
            </w:r>
          </w:p>
        </w:tc>
        <w:tc>
          <w:p>
            <w:pPr>
              <w:jc w:val="center"/>
            </w:pPr>
            <w:r>
              <w:rPr>
                <w:b/>
                <w:bCs/>
                <w:sz w:val="22"/>
                <w:szCs w:val="22"/>
                <w:rFonts w:ascii="Bookman Old Style" w:cs="Bookman Old Style" w:eastAsia="Bookman Old Style" w:hAnsi="Bookman Old Style"/>
              </w:rPr>
              <w:t xml:space="preserve">Pasal 11</w:t>
            </w:r>
          </w:p>
          <w:p>
            <w:pPr>
              <w:pStyle w:val="ListParagraph"/>
              <w:numPr>
                <w:ilvl w:val="0"/>
                <w:numId w:val="9"/>
              </w:numPr>
              <w:spacing w:after="100" w:before="100"/>
              <w:ind w:left="400" w:right="100"/>
              <w:jc w:val="both"/>
            </w:pPr>
            <w:r>
              <w:rPr>
                <w:sz w:val="22"/>
                <w:szCs w:val="22"/>
                <w:rFonts w:ascii="Bookman Old Style" w:cs="Bookman Old Style" w:eastAsia="Bookman Old Style" w:hAnsi="Bookman Old Style"/>
              </w:rPr>
              <w:t xml:space="preserve">Terhadap pengguna layanan tertentu dan/atau kondisi tertentu dapat dikenakan tarif layanan sampai dengan Rp0,00 (nol rupiah) dari tarif layanan utama sebagaimana dimaksud dalam Pasal 3</w:t>
            </w:r>
          </w:p>
          <w:p>
            <w:pPr>
              <w:pStyle w:val="ListParagraph"/>
              <w:numPr>
                <w:ilvl w:val="0"/>
                <w:numId w:val="9"/>
              </w:numPr>
              <w:spacing w:after="100" w:before="100"/>
              <w:ind w:left="400" w:right="100"/>
              <w:jc w:val="both"/>
            </w:pPr>
            <w:r>
              <w:rPr>
                <w:sz w:val="22"/>
                <w:szCs w:val="22"/>
                <w:rFonts w:ascii="Bookman Old Style" w:cs="Bookman Old Style" w:eastAsia="Bookman Old Style" w:hAnsi="Bookman Old Style"/>
              </w:rPr>
              <w:t xml:space="preserve">Pengguna layanan tertentu dan/atau kondisi tertentu sebagaimana dimaksud pada ayat 1 paling sedikit terdiri atas</w:t>
            </w:r>
          </w:p>
          <w:p>
            <w:pPr>
              <w:pStyle w:val="ListParagraph"/>
              <w:numPr>
                <w:ilvl w:val="0"/>
                <w:numId w:val="10"/>
              </w:numPr>
              <w:spacing w:after="100" w:before="100"/>
              <w:ind w:left="400" w:right="100"/>
              <w:jc w:val="both"/>
            </w:pPr>
            <w:r>
              <w:rPr>
                <w:sz w:val="22"/>
                <w:szCs w:val="22"/>
                <w:rFonts w:ascii="Bookman Old Style" w:cs="Bookman Old Style" w:eastAsia="Bookman Old Style" w:hAnsi="Bookman Old Style"/>
              </w:rPr>
              <w:t xml:space="preserve">pemeriksaan laboratorium untuk penanganan kejadian luar biasa</w:t>
            </w:r>
          </w:p>
          <w:p>
            <w:pPr>
              <w:pStyle w:val="ListParagraph"/>
              <w:numPr>
                <w:ilvl w:val="0"/>
                <w:numId w:val="10"/>
              </w:numPr>
              <w:spacing w:after="100" w:before="100"/>
              <w:ind w:left="400" w:right="100"/>
              <w:jc w:val="both"/>
            </w:pPr>
            <w:r>
              <w:rPr>
                <w:sz w:val="22"/>
                <w:szCs w:val="22"/>
                <w:rFonts w:ascii="Bookman Old Style" w:cs="Bookman Old Style" w:eastAsia="Bookman Old Style" w:hAnsi="Bookman Old Style"/>
              </w:rPr>
              <w:t xml:space="preserve">pelaksanaan kegiatan pemerintah yang bersifat strategis</w:t>
            </w:r>
          </w:p>
          <w:p>
            <w:pPr>
              <w:pStyle w:val="ListParagraph"/>
              <w:numPr>
                <w:ilvl w:val="0"/>
                <w:numId w:val="10"/>
              </w:numPr>
              <w:spacing w:after="100" w:before="100"/>
              <w:ind w:left="400" w:right="100"/>
              <w:jc w:val="both"/>
            </w:pPr>
            <w:r>
              <w:rPr>
                <w:sz w:val="22"/>
                <w:szCs w:val="22"/>
                <w:rFonts w:ascii="Bookman Old Style" w:cs="Bookman Old Style" w:eastAsia="Bookman Old Style" w:hAnsi="Bookman Old Style"/>
              </w:rPr>
              <w:t xml:space="preserve">pemeriksaan laboratorium pada kegiatan peringatan hari besar</w:t>
            </w:r>
          </w:p>
          <w:p>
            <w:pPr>
              <w:pStyle w:val="ListParagraph"/>
              <w:numPr>
                <w:ilvl w:val="0"/>
                <w:numId w:val="10"/>
              </w:numPr>
              <w:spacing w:after="100" w:before="100"/>
              <w:ind w:left="400" w:right="100"/>
              <w:jc w:val="both"/>
            </w:pPr>
            <w:r>
              <w:rPr>
                <w:sz w:val="22"/>
                <w:szCs w:val="22"/>
                <w:rFonts w:ascii="Bookman Old Style" w:cs="Bookman Old Style" w:eastAsia="Bookman Old Style" w:hAnsi="Bookman Old Style"/>
              </w:rPr>
              <w:t xml:space="preserve">layanan dalam bentuk paket; dan</w:t>
            </w:r>
          </w:p>
          <w:p>
            <w:pPr>
              <w:pStyle w:val="ListParagraph"/>
              <w:numPr>
                <w:ilvl w:val="0"/>
                <w:numId w:val="10"/>
              </w:numPr>
              <w:spacing w:after="100" w:before="100"/>
              <w:ind w:left="400" w:right="100"/>
              <w:jc w:val="both"/>
            </w:pPr>
            <w:r>
              <w:rPr>
                <w:sz w:val="22"/>
                <w:szCs w:val="22"/>
                <w:rFonts w:ascii="Bookman Old Style" w:cs="Bookman Old Style" w:eastAsia="Bookman Old Style" w:hAnsi="Bookman Old Style"/>
              </w:rPr>
              <w:t xml:space="preserve">pengguna layanan yang berasal dari keluarga miskin atau tidak mampu dan bukan pasien pihak penjamin</w:t>
            </w:r>
          </w:p>
          <w:p>
            <w:pPr>
              <w:pStyle w:val="ListParagraph"/>
              <w:numPr>
                <w:ilvl w:val="0"/>
                <w:numId w:val="9"/>
              </w:numPr>
              <w:spacing w:after="100" w:before="100"/>
              <w:ind w:left="400" w:right="100"/>
              <w:jc w:val="both"/>
            </w:pPr>
            <w:r>
              <w:rPr>
                <w:sz w:val="22"/>
                <w:szCs w:val="22"/>
                <w:rFonts w:ascii="Bookman Old Style" w:cs="Bookman Old Style" w:eastAsia="Bookman Old Style" w:hAnsi="Bookman Old Style"/>
              </w:rPr>
              <w:t xml:space="preserve">Pemberian tarif layanan sampai dengan Rp0,00 (nol rupiah) sebagaimana dimaksud pada ayat 1 dilaksanakan dengan mempertimbangkan kondisi keuangan Badan Layanan Umum Balai Besar Laboratorium Kesehatan Surabaya pada Kementerian Kesehatan</w:t>
            </w:r>
          </w:p>
          <w:p>
            <w:pPr>
              <w:pStyle w:val="ListParagraph"/>
              <w:numPr>
                <w:ilvl w:val="0"/>
                <w:numId w:val="9"/>
              </w:numPr>
              <w:spacing w:after="100" w:before="100"/>
              <w:ind w:left="400" w:right="100"/>
              <w:jc w:val="both"/>
            </w:pPr>
            <w:r>
              <w:rPr>
                <w:sz w:val="22"/>
                <w:szCs w:val="22"/>
                <w:rFonts w:ascii="Bookman Old Style" w:cs="Bookman Old Style" w:eastAsia="Bookman Old Style" w:hAnsi="Bookman Old Style"/>
              </w:rPr>
              <w:t xml:space="preserve">Ketentuan lebih lanjut mengenai kriteria dan tata cara penetapan tarif layanan sebagaimana dimaksud pada ayat 1 diatur oleh Kepala Badan Layanan Umum Balai Besar Laboratorium Kesehatan Surabaya pada Kementerian Kesehatan</w:t>
            </w:r>
          </w:p>
        </w:tc>
        <w:tc>
          <w:tcPr>
            <w:vAlign w:val="center"/>
          </w:tcPr>
          <w:p>
            <w:r>
              <w:t xml:space="preserve"/>
            </w:r>
          </w:p>
        </w:tc>
        <w:tc>
          <w:tcPr>
            <w:vAlign w:val="center"/>
          </w:tcPr>
          <w:p>
            <w:r>
              <w:t xml:space="preserve"/>
            </w:r>
          </w:p>
        </w:tc>
      </w:tr>
      <w:tr>
        <w:tc>
          <w:p>
            <w:pPr>
              <w:jc w:val="center"/>
            </w:pPr>
            <w:r>
              <w:t xml:space="preserve">12</w:t>
            </w:r>
          </w:p>
        </w:tc>
        <w:tc>
          <w:p>
            <w:pPr>
              <w:jc w:val="center"/>
            </w:pPr>
            <w:r>
              <w:rPr>
                <w:b/>
                <w:bCs/>
                <w:sz w:val="22"/>
                <w:szCs w:val="22"/>
                <w:rFonts w:ascii="Bookman Old Style" w:cs="Bookman Old Style" w:eastAsia="Bookman Old Style" w:hAnsi="Bookman Old Style"/>
              </w:rPr>
              <w:t xml:space="preserve">Pasal 12</w:t>
            </w:r>
          </w:p>
          <w:p>
            <w:pPr>
              <w:pStyle w:val="ListParagraph"/>
              <w:numPr>
                <w:ilvl w:val="0"/>
                <w:numId w:val="11"/>
              </w:numPr>
              <w:spacing w:after="100" w:before="100"/>
              <w:ind w:left="400" w:right="100"/>
              <w:jc w:val="both"/>
            </w:pPr>
            <w:r>
              <w:rPr>
                <w:sz w:val="22"/>
                <w:szCs w:val="22"/>
                <w:rFonts w:ascii="Bookman Old Style" w:cs="Bookman Old Style" w:eastAsia="Bookman Old Style" w:hAnsi="Bookman Old Style"/>
              </w:rPr>
              <w:t xml:space="preserve">Terhadap pengguna layanan yang merupakan warga negara asing dapat dikenakan tarif paling rendah 125% (seratus dua puluh lima persen) dari tarif layanan sebagaimana dimaksud dalam Pasal 3</w:t>
            </w:r>
          </w:p>
          <w:p>
            <w:pPr>
              <w:pStyle w:val="ListParagraph"/>
              <w:numPr>
                <w:ilvl w:val="0"/>
                <w:numId w:val="11"/>
              </w:numPr>
              <w:spacing w:after="100" w:before="100"/>
              <w:ind w:left="400" w:right="100"/>
              <w:jc w:val="both"/>
            </w:pPr>
            <w:r>
              <w:rPr>
                <w:sz w:val="22"/>
                <w:szCs w:val="22"/>
                <w:rFonts w:ascii="Bookman Old Style" w:cs="Bookman Old Style" w:eastAsia="Bookman Old Style" w:hAnsi="Bookman Old Style"/>
              </w:rPr>
              <w:t xml:space="preserve">Ketentuan lebih lanjut mengenai kriteria dan tata cara pengenaan tarif layanan kepada pengguna layanan yang berasal dari warga negara asing sebagaimana dimaksud pada ayat 1 diatur oleh Kepala Badan Layanan Umum Balai Besar Laboratorium Kesehatan Surabaya pada Kementerian Kesehatan</w:t>
            </w:r>
          </w:p>
        </w:tc>
        <w:tc>
          <w:tcPr>
            <w:vAlign w:val="center"/>
          </w:tcPr>
          <w:p>
            <w:r>
              <w:t xml:space="preserve"/>
            </w:r>
          </w:p>
        </w:tc>
        <w:tc>
          <w:tcPr>
            <w:vAlign w:val="center"/>
          </w:tcPr>
          <w:p>
            <w:r>
              <w:t xml:space="preserve"/>
            </w:r>
          </w:p>
        </w:tc>
      </w:tr>
      <w:tr>
        <w:tc>
          <w:p>
            <w:pPr>
              <w:jc w:val="center"/>
            </w:pPr>
            <w:r>
              <w:t xml:space="preserve">13</w:t>
            </w:r>
          </w:p>
        </w:tc>
        <w:tc>
          <w:p>
            <w:pPr>
              <w:jc w:val="center"/>
            </w:pPr>
            <w:r>
              <w:rPr>
                <w:b/>
                <w:bCs/>
                <w:sz w:val="22"/>
                <w:szCs w:val="22"/>
                <w:rFonts w:ascii="Bookman Old Style" w:cs="Bookman Old Style" w:eastAsia="Bookman Old Style" w:hAnsi="Bookman Old Style"/>
              </w:rPr>
              <w:t xml:space="preserve">Pasal 13</w:t>
            </w:r>
          </w:p>
          <w:p>
            <w:pPr>
              <w:pStyle w:val="ListParagraph"/>
              <w:numPr>
                <w:ilvl w:val="0"/>
                <w:numId w:val="12"/>
              </w:numPr>
              <w:spacing w:after="100" w:before="100"/>
              <w:ind w:left="400" w:right="100"/>
              <w:jc w:val="both"/>
            </w:pPr>
            <w:r>
              <w:rPr>
                <w:sz w:val="22"/>
                <w:szCs w:val="22"/>
                <w:rFonts w:ascii="Bookman Old Style" w:cs="Bookman Old Style" w:eastAsia="Bookman Old Style" w:hAnsi="Bookman Old Style"/>
              </w:rPr>
              <w:t xml:space="preserve">Terhadap pengguna layanan yang menggunakan layanan uji cepat yaitu pengujian dengan durasi layanan lebih 6 tambahan tarif layanan sebesar 50% (lima puluh persen) dari tarif layanan utama sebagaimana dimaksud dalam Pasal 3</w:t>
            </w:r>
          </w:p>
          <w:p>
            <w:pPr>
              <w:pStyle w:val="ListParagraph"/>
              <w:numPr>
                <w:ilvl w:val="0"/>
                <w:numId w:val="12"/>
              </w:numPr>
              <w:spacing w:after="100" w:before="100"/>
              <w:ind w:left="400" w:right="100"/>
              <w:jc w:val="both"/>
            </w:pPr>
            <w:r>
              <w:rPr>
                <w:sz w:val="22"/>
                <w:szCs w:val="22"/>
                <w:rFonts w:ascii="Bookman Old Style" w:cs="Bookman Old Style" w:eastAsia="Bookman Old Style" w:hAnsi="Bookman Old Style"/>
              </w:rPr>
              <w:t xml:space="preserve">Ketentuan lebih lanjut mengenai kriteria dan tata cara pengenaan tarif layanan kepada pengguna layanan yang menggunakan layanan uji cepat sebagaimana dimaksud pada ayat 1 diatur oleh Kepala Badan Layanan Umum Balai Besar Laboratorium Kesehatan Surabaya pada Kementerian Kesehatan</w:t>
            </w:r>
          </w:p>
        </w:tc>
        <w:tc>
          <w:tcPr>
            <w:vAlign w:val="center"/>
          </w:tcPr>
          <w:p>
            <w:r>
              <w:t xml:space="preserve"/>
            </w:r>
          </w:p>
        </w:tc>
        <w:tc>
          <w:tcPr>
            <w:vAlign w:val="center"/>
          </w:tcPr>
          <w:p>
            <w:r>
              <w:t xml:space="preserve"/>
            </w:r>
          </w:p>
        </w:tc>
      </w:tr>
      <w:tr>
        <w:tc>
          <w:p>
            <w:pPr>
              <w:jc w:val="center"/>
            </w:pPr>
            <w:r>
              <w:t xml:space="preserve">14</w:t>
            </w:r>
          </w:p>
        </w:tc>
        <w:tc>
          <w:p>
            <w:pPr>
              <w:jc w:val="center"/>
            </w:pPr>
            <w:r>
              <w:rPr>
                <w:b/>
                <w:bCs/>
                <w:sz w:val="22"/>
                <w:szCs w:val="22"/>
                <w:rFonts w:ascii="Bookman Old Style" w:cs="Bookman Old Style" w:eastAsia="Bookman Old Style" w:hAnsi="Bookman Old Style"/>
              </w:rPr>
              <w:t xml:space="preserve">Pasal 14</w:t>
            </w:r>
          </w:p>
          <w:p>
            <w:pPr>
              <w:spacing w:after="100" w:before="100"/>
              <w:ind w:left="400" w:right="100"/>
              <w:jc w:val="both"/>
            </w:pPr>
            <w:r>
              <w:rPr>
                <w:sz w:val="22"/>
                <w:szCs w:val="22"/>
                <w:rFonts w:ascii="Bookman Old Style" w:cs="Bookman Old Style" w:eastAsia="Bookman Old Style" w:hAnsi="Bookman Old Style"/>
              </w:rPr>
              <w:t xml:space="preserve">Perjanjian/kerja sama antara Badan Layanan Umum Balai Besar Laboratorium Kesehatan Surabaya pada Kementerian Kesehatan dengan pihak pengguna layanan sebelum berlakunya Peraturan Menteri ini, dinyatakan masih tetap berlaku sampai dengan berakhirnya perjanjian/kerja sama</w:t>
            </w:r>
          </w:p>
        </w:tc>
        <w:tc>
          <w:tcPr>
            <w:vAlign w:val="center"/>
          </w:tcPr>
          <w:p>
            <w:r>
              <w:t xml:space="preserve"/>
            </w:r>
          </w:p>
        </w:tc>
        <w:tc>
          <w:tcPr>
            <w:vAlign w:val="center"/>
          </w:tcPr>
          <w:p>
            <w:r>
              <w:t xml:space="preserve"/>
            </w:r>
          </w:p>
        </w:tc>
      </w:tr>
      <w:tr>
        <w:tc>
          <w:p>
            <w:pPr>
              <w:jc w:val="center"/>
            </w:pPr>
            <w:r>
              <w:t xml:space="preserve">15</w:t>
            </w:r>
          </w:p>
        </w:tc>
        <w:tc>
          <w:p>
            <w:pPr>
              <w:jc w:val="center"/>
            </w:pPr>
            <w:r>
              <w:rPr>
                <w:b/>
                <w:bCs/>
                <w:sz w:val="22"/>
                <w:szCs w:val="22"/>
                <w:rFonts w:ascii="Bookman Old Style" w:cs="Bookman Old Style" w:eastAsia="Bookman Old Style" w:hAnsi="Bookman Old Style"/>
              </w:rPr>
              <w:t xml:space="preserve">Pasal 15</w:t>
            </w:r>
          </w:p>
          <w:p>
            <w:pPr>
              <w:spacing w:after="100" w:before="100"/>
              <w:ind w:left="400" w:right="100"/>
              <w:jc w:val="both"/>
            </w:pPr>
            <w:r>
              <w:rPr>
                <w:sz w:val="22"/>
                <w:szCs w:val="22"/>
                <w:rFonts w:ascii="Bookman Old Style" w:cs="Bookman Old Style" w:eastAsia="Bookman Old Style" w:hAnsi="Bookman Old Style"/>
              </w:rPr>
              <w:t xml:space="preserve">Pada saat Peraturan Menteri ini mulai berlaku, Peraturan Menteri Keuangan Nomor 137/PMK.05/2017 tentang Tarif Layanan Badan Layanan Umum Balai Besar Laboratorium Kesehatan Surabaya pada Kementerian Kesehatan (Berita Negara Republik Indonesia Tahun 2017 Nomor 1414), dicabut dan dinyatakan tidak berlaku</w:t>
            </w:r>
          </w:p>
        </w:tc>
        <w:tc>
          <w:tcPr>
            <w:vAlign w:val="center"/>
          </w:tcPr>
          <w:p>
            <w:r>
              <w:t xml:space="preserve"/>
            </w:r>
          </w:p>
        </w:tc>
        <w:tc>
          <w:tcPr>
            <w:vAlign w:val="center"/>
          </w:tcPr>
          <w:p>
            <w:r>
              <w:t xml:space="preserve"/>
            </w:r>
          </w:p>
        </w:tc>
      </w:tr>
      <w:tr>
        <w:tc>
          <w:p>
            <w:pPr>
              <w:jc w:val="center"/>
            </w:pPr>
            <w:r>
              <w:t xml:space="preserve">16</w:t>
            </w:r>
          </w:p>
        </w:tc>
        <w:tc>
          <w:p>
            <w:pPr>
              <w:jc w:val="center"/>
            </w:pPr>
            <w:r>
              <w:rPr>
                <w:b/>
                <w:bCs/>
                <w:sz w:val="22"/>
                <w:szCs w:val="22"/>
                <w:rFonts w:ascii="Bookman Old Style" w:cs="Bookman Old Style" w:eastAsia="Bookman Old Style" w:hAnsi="Bookman Old Style"/>
              </w:rPr>
              <w:t xml:space="preserve">Pasal 16</w:t>
            </w:r>
          </w:p>
          <w:p>
            <w:pPr>
              <w:spacing w:after="100" w:before="100"/>
              <w:ind w:left="400" w:right="100"/>
              <w:jc w:val="both"/>
            </w:pPr>
            <w:r>
              <w:rPr>
                <w:sz w:val="22"/>
                <w:szCs w:val="22"/>
                <w:rFonts w:ascii="Bookman Old Style" w:cs="Bookman Old Style" w:eastAsia="Bookman Old Style" w:hAnsi="Bookman Old Style"/>
              </w:rPr>
              <w:t xml:space="preserve">Peraturan Menteri ini mulai berlaku setelah 15 (lima belas) hari kalender terhitung sejak tanggal diundangkan</w:t>
            </w:r>
          </w:p>
        </w:tc>
        <w:tc>
          <w:tcPr>
            <w:vAlign w:val="center"/>
          </w:tcPr>
          <w:p>
            <w:r>
              <w:t xml:space="preserve"/>
            </w:r>
          </w:p>
        </w:tc>
        <w:tc>
          <w:tcPr>
            <w:vAlign w:val="center"/>
          </w:tcPr>
          <w:p>
            <w:r>
              <w:t xml:space="preserve"/>
            </w:r>
          </w:p>
        </w:tc>
      </w:tr>
    </w:tbl>
    <w:sectPr>
      <w:headerReference w:type="default" r:id="rId6"/>
      <w:footerReference w:type="default" r:id="rId7"/>
      <w:pgSz w:w="16838" w:h="11906" w:orient="landscape"/>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Generated with https://github.com/gagahputrabangsa/Legal_Viewer_Msib.git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placement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abstractNum w:abstractNumId="3" w15:restartNumberingAfterBreak="0">
    <w:multiLevelType w:val="hybridMultilevel"/>
    <w:lvl w:ilvl="0" w15:tentative="1">
      <w:start w:val="1"/>
      <w:numFmt w:val="decimal"/>
      <w:lvlText w:val="(%1)"/>
      <w:lvlJc w:val="start"/>
    </w:lvl>
  </w:abstractNum>
  <w:abstractNum w:abstractNumId="4" w15:restartNumberingAfterBreak="0">
    <w:multiLevelType w:val="hybridMultilevel"/>
    <w:lvl w:ilvl="0" w15:tentative="1">
      <w:start w:val="1"/>
      <w:numFmt w:val="decimal"/>
      <w:lvlText w:val="(%1)"/>
      <w:lvlJc w:val="start"/>
    </w:lvl>
  </w:abstractNum>
  <w:abstractNum w:abstractNumId="5" w15:restartNumberingAfterBreak="0">
    <w:multiLevelType w:val="hybridMultilevel"/>
    <w:lvl w:ilvl="0" w15:tentative="1">
      <w:start w:val="1"/>
      <w:numFmt w:val="decimal"/>
      <w:lvlText w:val="(%1)"/>
      <w:lvlJc w:val="start"/>
    </w:lvl>
  </w:abstractNum>
  <w:abstractNum w:abstractNumId="6" w15:restartNumberingAfterBreak="0">
    <w:multiLevelType w:val="hybridMultilevel"/>
    <w:lvl w:ilvl="0" w15:tentative="1">
      <w:start w:val="1"/>
      <w:numFmt w:val="decimal"/>
      <w:lvlText w:val="(%1)"/>
      <w:lvlJc w:val="start"/>
    </w:lvl>
  </w:abstractNum>
  <w:abstractNum w:abstractNumId="7" w15:restartNumberingAfterBreak="0">
    <w:multiLevelType w:val="hybridMultilevel"/>
    <w:lvl w:ilvl="0" w15:tentative="1">
      <w:start w:val="1"/>
      <w:numFmt w:val="decimal"/>
      <w:lvlText w:val="(%1)"/>
      <w:lvlJc w:val="start"/>
    </w:lvl>
  </w:abstractNum>
  <w:abstractNum w:abstractNumId="8" w15:restartNumberingAfterBreak="0">
    <w:multiLevelType w:val="hybridMultilevel"/>
    <w:lvl w:ilvl="0" w15:tentative="1">
      <w:start w:val="1"/>
      <w:numFmt w:val="decimal"/>
      <w:lvlText w:val="(%1)"/>
      <w:lvlJc w:val="start"/>
    </w:lvl>
  </w:abstractNum>
  <w:abstractNum w:abstractNumId="9" w15:restartNumberingAfterBreak="0">
    <w:multiLevelType w:val="hybridMultilevel"/>
    <w:lvl w:ilvl="0" w15:tentative="1">
      <w:start w:val="1"/>
      <w:numFmt w:val="decimal"/>
      <w:lvlText w:val="(%1)"/>
      <w:lvlJc w:val="start"/>
    </w:lvl>
  </w:abstractNum>
  <w:abstractNum w:abstractNumId="10" w15:restartNumberingAfterBreak="0">
    <w:multiLevelType w:val="hybridMultilevel"/>
    <w:lvl w:ilvl="0" w15:tentative="1">
      <w:start w:val="1"/>
      <w:numFmt w:val="decimal"/>
      <w:lvlText w:val="(%1)"/>
      <w:lvlJc w:val="start"/>
    </w:lvl>
  </w:abstractNum>
  <w:abstractNum w:abstractNumId="11" w15:restartNumberingAfterBreak="0">
    <w:multiLevelType w:val="hybridMultilevel"/>
    <w:lvl w:ilvl="0" w15:tentative="1">
      <w:start w:val="1"/>
      <w:numFmt w:val="decimal"/>
      <w:lvlText w:val="(%1)"/>
      <w:lvlJc w:val="start"/>
    </w:lvl>
  </w:abstractNum>
  <w:abstractNum w:abstractNumId="12" w15:restartNumberingAfterBreak="0">
    <w:multiLevelType w:val="hybridMultilevel"/>
    <w:lvl w:ilvl="0" w15:tentative="1">
      <w:start w:val="1"/>
      <w:numFmt w:val="decimal"/>
      <w:lvlText w:val="(%1)"/>
      <w:lvlJc w:val="start"/>
    </w:lvl>
  </w:abstractNum>
  <w:abstractNum w:abstractNumId="13" w15:restartNumberingAfterBreak="0">
    <w:multiLevelType w:val="hybridMultilevel"/>
    <w:lvl w:ilvl="0" w15:tentative="1">
      <w:start w:val="1"/>
      <w:numFmt w:val="decimal"/>
      <w:lvlText w:val="(%1)"/>
      <w:lvlJc w:val="start"/>
    </w:lvl>
  </w:abstractNum>
  <w:abstractNum w:abstractNumId="14" w15:restartNumberingAfterBreak="0">
    <w:multiLevelType w:val="hybridMultilevel"/>
    <w:lvl w:ilvl="0" w15:tentative="1">
      <w:start w:val="1"/>
      <w:numFmt w:val="decimal"/>
      <w:lvlText w:val="(%1)"/>
      <w:lvlJc w:val="start"/>
    </w:lvl>
  </w:abstractNum>
  <w:abstractNum w:abstractNumId="15" w15:restartNumberingAfterBreak="0">
    <w:multiLevelType w:val="hybridMultilevel"/>
    <w:lvl w:ilvl="0" w15:tentative="1">
      <w:start w:val="1"/>
      <w:numFmt w:val="decimal"/>
      <w:lvlText w:val="(%1)"/>
      <w:lvlJc w:val="start"/>
    </w:lvl>
  </w:abstractNum>
  <w:abstractNum w:abstractNumId="16" w15:restartNumberingAfterBreak="0">
    <w:multiLevelType w:val="hybridMultilevel"/>
    <w:lvl w:ilvl="0" w15:tentative="1">
      <w:start w:val="1"/>
      <w:numFmt w:val="decimal"/>
      <w:lvlText w:val="(%1)"/>
      <w:lvlJc w:val="start"/>
    </w:lvl>
  </w:abstractNum>
  <w:abstractNum w:abstractNumId="17" w15:restartNumberingAfterBreak="0">
    <w:multiLevelType w:val="hybridMultilevel"/>
    <w:lvl w:ilvl="0" w15:tentative="1">
      <w:start w:val="1"/>
      <w:numFmt w:val="decimal"/>
      <w:lvlText w:val="(%1)"/>
      <w:lvlJc w:val="start"/>
    </w:lvl>
  </w:abstractNum>
  <w:abstractNum w:abstractNumId="18" w15:restartNumberingAfterBreak="0">
    <w:multiLevelType w:val="hybridMultilevel"/>
    <w:lvl w:ilvl="0" w15:tentative="1">
      <w:start w:val="1"/>
      <w:numFmt w:val="lowerLetter"/>
      <w:lvlText w:val="%1."/>
      <w:lvlJc w:val="start"/>
    </w:lvl>
  </w:abstractNum>
  <w:abstractNum w:abstractNumId="19" w15:restartNumberingAfterBreak="0">
    <w:multiLevelType w:val="hybridMultilevel"/>
    <w:lvl w:ilvl="0" w15:tentative="1">
      <w:start w:val="1"/>
      <w:numFmt w:val="lowerLetter"/>
      <w:lvlText w:val="%1."/>
      <w:lvlJc w:val="start"/>
    </w:lvl>
  </w:abstractNum>
  <w:abstractNum w:abstractNumId="20" w15:restartNumberingAfterBreak="0">
    <w:multiLevelType w:val="hybridMultilevel"/>
    <w:lvl w:ilvl="0" w15:tentative="1">
      <w:start w:val="1"/>
      <w:numFmt w:val="lowerLetter"/>
      <w:lvlText w:val="%1."/>
      <w:lvlJc w:val="start"/>
    </w:lvl>
  </w:abstractNum>
  <w:abstractNum w:abstractNumId="21" w15:restartNumberingAfterBreak="0">
    <w:multiLevelType w:val="hybridMultilevel"/>
    <w:lvl w:ilvl="0" w15:tentative="1">
      <w:start w:val="1"/>
      <w:numFmt w:val="lowerLetter"/>
      <w:lvlText w:val="%1."/>
      <w:lvlJc w:val="start"/>
    </w:lvl>
  </w:abstractNum>
  <w:abstractNum w:abstractNumId="22" w15:restartNumberingAfterBreak="0">
    <w:multiLevelType w:val="hybridMultilevel"/>
    <w:lvl w:ilvl="0" w15:tentative="1">
      <w:start w:val="1"/>
      <w:numFmt w:val="lowerLetter"/>
      <w:lvlText w:val="%1."/>
      <w:lvlJc w:val="start"/>
    </w:lvl>
  </w:abstractNum>
  <w:abstractNum w:abstractNumId="23" w15:restartNumberingAfterBreak="0">
    <w:multiLevelType w:val="hybridMultilevel"/>
    <w:lvl w:ilvl="0" w15:tentative="1">
      <w:start w:val="1"/>
      <w:numFmt w:val="lowerLetter"/>
      <w:lvlText w:val="%1."/>
      <w:lvlJc w:val="start"/>
    </w:lvl>
  </w:abstractNum>
  <w:abstractNum w:abstractNumId="24" w15:restartNumberingAfterBreak="0">
    <w:multiLevelType w:val="hybridMultilevel"/>
    <w:lvl w:ilvl="0" w15:tentative="1">
      <w:start w:val="1"/>
      <w:numFmt w:val="lowerLetter"/>
      <w:lvlText w:val="%1."/>
      <w:lvlJc w:val="start"/>
    </w:lvl>
  </w:abstractNum>
  <w:abstractNum w:abstractNumId="25" w15:restartNumberingAfterBreak="0">
    <w:multiLevelType w:val="hybridMultilevel"/>
    <w:lvl w:ilvl="0" w15:tentative="1">
      <w:start w:val="1"/>
      <w:numFmt w:val="lowerLetter"/>
      <w:lvlText w:val="%1."/>
      <w:lvlJc w:val="start"/>
    </w:lvl>
  </w:abstractNum>
  <w:abstractNum w:abstractNumId="26" w15:restartNumberingAfterBreak="0">
    <w:multiLevelType w:val="hybridMultilevel"/>
    <w:lvl w:ilvl="0" w15:tentative="1">
      <w:start w:val="1"/>
      <w:numFmt w:val="lowerLetter"/>
      <w:lvlText w:val="%1."/>
      <w:lvlJc w:val="start"/>
    </w:lvl>
  </w:abstractNum>
  <w:abstractNum w:abstractNumId="27" w15:restartNumberingAfterBreak="0">
    <w:multiLevelType w:val="hybridMultilevel"/>
    <w:lvl w:ilvl="0" w15:tentative="1">
      <w:start w:val="1"/>
      <w:numFmt w:val="lowerLetter"/>
      <w:lvlText w:val="%1."/>
      <w:lvlJc w:val="start"/>
    </w:lvl>
  </w:abstractNum>
  <w:abstractNum w:abstractNumId="28" w15:restartNumberingAfterBreak="0">
    <w:multiLevelType w:val="hybridMultilevel"/>
    <w:lvl w:ilvl="0" w15:tentative="1">
      <w:start w:val="1"/>
      <w:numFmt w:val="lowerLetter"/>
      <w:lvlText w:val="%1."/>
      <w:lvlJc w:val="start"/>
    </w:lvl>
  </w:abstractNum>
  <w:abstractNum w:abstractNumId="29" w15:restartNumberingAfterBreak="0">
    <w:multiLevelType w:val="hybridMultilevel"/>
    <w:lvl w:ilvl="0" w15:tentative="1">
      <w:start w:val="1"/>
      <w:numFmt w:val="lowerLetter"/>
      <w:lvlText w:val="%1."/>
      <w:lvlJc w:val="start"/>
    </w:lvl>
  </w:abstractNum>
  <w:abstractNum w:abstractNumId="30" w15:restartNumberingAfterBreak="0">
    <w:multiLevelType w:val="hybridMultilevel"/>
    <w:lvl w:ilvl="0" w15:tentative="1">
      <w:start w:val="1"/>
      <w:numFmt w:val="lowerLetter"/>
      <w:lvlText w:val="%1."/>
      <w:lvlJc w:val="start"/>
    </w:lvl>
  </w:abstractNum>
  <w:abstractNum w:abstractNumId="31" w15:restartNumberingAfterBreak="0">
    <w:multiLevelType w:val="hybridMultilevel"/>
    <w:lvl w:ilvl="0" w15:tentative="1">
      <w:start w:val="1"/>
      <w:numFmt w:val="lowerLetter"/>
      <w:lvlText w:val="%1."/>
      <w:lvlJc w:val="start"/>
    </w:lvl>
  </w:abstractNum>
  <w:abstractNum w:abstractNumId="32" w15:restartNumberingAfterBreak="0">
    <w:multiLevelType w:val="hybridMultilevel"/>
    <w:lvl w:ilvl="0" w15:tentative="1">
      <w:start w:val="1"/>
      <w:numFmt w:val="lowerLetter"/>
      <w:lvlText w:val="%1."/>
      <w:lvlJc w:val="start"/>
    </w:lvl>
  </w:abstractNum>
  <w:abstractNum w:abstractNumId="33" w15:restartNumberingAfterBreak="0">
    <w:multiLevelType w:val="hybridMultilevel"/>
    <w:lvl w:ilvl="0" w15:tentative="1">
      <w:start w:val="1"/>
      <w:numFmt w:val="lowerLetter"/>
      <w:lvlText w:val="%1."/>
      <w:lvlJc w:val="start"/>
    </w:lvl>
  </w:abstractNum>
  <w:num w:numId="1">
    <w:abstractNumId w:val="1"/>
    <w:lvlOverride w:ilvl="0">
      <w:startOverride w:val="1"/>
    </w:lvlOverride>
  </w:num>
  <w:num w:numId="2">
    <w:abstractNumId w:val="2"/>
    <w:lvlOverride w:ilvl="0">
      <w:startOverride w:val="1"/>
    </w:lvlOverride>
  </w:num>
  <w:num w:numId="3">
    <w:abstractNumId w:val="19"/>
    <w:lvlOverride w:ilvl="0">
      <w:startOverride w:val="1"/>
    </w:lvlOverride>
  </w:num>
  <w:num w:numId="4">
    <w:abstractNumId w:val="20"/>
    <w:lvlOverride w:ilvl="0">
      <w:startOverride w:val="1"/>
    </w:lvlOverride>
  </w:num>
  <w:num w:numId="5">
    <w:abstractNumId w:val="21"/>
    <w:lvlOverride w:ilvl="0">
      <w:startOverride w:val="1"/>
    </w:lvlOverride>
  </w:num>
  <w:num w:numId="6">
    <w:abstractNumId w:val="6"/>
    <w:lvlOverride w:ilvl="0">
      <w:startOverride w:val="1"/>
    </w:lvlOverride>
  </w:num>
  <w:num w:numId="7">
    <w:abstractNumId w:val="10"/>
    <w:lvlOverride w:ilvl="0">
      <w:startOverride w:val="1"/>
    </w:lvlOverride>
  </w:num>
  <w:num w:numId="8">
    <w:abstractNumId w:val="11"/>
    <w:lvlOverride w:ilvl="0">
      <w:startOverride w:val="1"/>
    </w:lvlOverride>
  </w:num>
  <w:num w:numId="9">
    <w:abstractNumId w:val="12"/>
    <w:lvlOverride w:ilvl="0">
      <w:startOverride w:val="1"/>
    </w:lvlOverride>
  </w:num>
  <w:num w:numId="10">
    <w:abstractNumId w:val="28"/>
    <w:lvlOverride w:ilvl="0">
      <w:startOverride w:val="1"/>
    </w:lvlOverride>
  </w:num>
  <w:num w:numId="11">
    <w:abstractNumId w:val="13"/>
    <w:lvlOverride w:ilvl="0">
      <w:startOverride w:val="1"/>
    </w:lvlOverride>
  </w:num>
  <w:num w:numId="12">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2024-05-07T07:07:42.341Z</dcterms:created>
  <dcterms:modified xsi:type="dcterms:W3CDTF">2024-05-07T07:07:42.342Z</dcterms:modified>
</cp:coreProperties>
</file>

<file path=docProps/custom.xml><?xml version="1.0" encoding="utf-8"?>
<Properties xmlns="http://schemas.openxmlformats.org/officeDocument/2006/custom-properties" xmlns:vt="http://schemas.openxmlformats.org/officeDocument/2006/docPropsVTypes"/>
</file>