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F172A"/>
          <w:sz w:val="32"/>
        </w:rPr>
        <w:t>ENTERPRISE SOFTWARE LICENSE AGREEMENT</w:t>
      </w:r>
    </w:p>
    <w:p>
      <w:r>
        <w:t>This Enterprise Software License Agreement ('Agreement') is made effective on November 01, 2026, by and between Infosys Global Technologies Ltd ('Licensor'), located in Mumbai, Maharashtra, and Reliance Retail Enterprises Ltd ('Licensee').</w:t>
      </w:r>
    </w:p>
    <w:p>
      <w:pPr>
        <w:pStyle w:val="Heading2"/>
      </w:pPr>
      <w:r>
        <w:t>1. Grant of License and Fees</w:t>
      </w:r>
    </w:p>
    <w:p>
      <w:r>
        <w:t>Licensor grants Licensee a non-exclusive, non-transferable enterprise license to use the Core Engine suite. The annual license fee is ₹45,00,000 (Rupees 45 Lakhs) plus applicable GST, with an upfront setup charge of Rs. 5,00,000.</w:t>
      </w:r>
    </w:p>
    <w:p>
      <w:pPr>
        <w:pStyle w:val="Heading2"/>
      </w:pPr>
      <w:r>
        <w:t>2. Limitation of Liability (Medium Risk)</w:t>
      </w:r>
    </w:p>
    <w:p>
      <w:r>
        <w:t>Except for breach of confidentiality obligations, the aggregate liability of Licensor arising under or in connection with this Agreement shall be strictly capped at the total fees paid by Licensee in the six (6) months preceding the event, not to exceed INR 22,50,000.</w:t>
      </w:r>
    </w:p>
    <w:p>
      <w:pPr>
        <w:pStyle w:val="Heading2"/>
      </w:pPr>
      <w:r>
        <w:t>3. Termination &amp; Notice</w:t>
      </w:r>
    </w:p>
    <w:p>
      <w:r>
        <w:t>Either party may terminate this agreement upon 30 days written notice of termination for material breach. Licensor reserves the right to terminate without notice in the event of unauthorized reverse engineering or unpaid invoices exceeding 60 days.</w:t>
      </w:r>
    </w:p>
    <w:p>
      <w:pPr>
        <w:pStyle w:val="Heading2"/>
      </w:pPr>
      <w:r>
        <w:t>4. Confidentiality &amp; Non-Disclosure</w:t>
      </w:r>
    </w:p>
    <w:p>
      <w:r>
        <w:t>Both parties agree to hold confidential information in strict confidence for a period of three (3) years from disclosure. Liquidated damages for willful disclosure shall be ₹15,00,000 per violation.</w:t>
      </w:r>
    </w:p>
    <w:p>
      <w:pPr>
        <w:pStyle w:val="Heading2"/>
      </w:pPr>
      <w:r>
        <w:t>5. Governing Law</w:t>
      </w:r>
    </w:p>
    <w:p>
      <w:r>
        <w:t>This Agreement shall be governed by the laws of India, with exclusive dispute resolution jurisdiction submitted to the courts in Mumbai, Maharashtra.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