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1: Requirements Engineering</w:t>
        <w:br/>
      </w:r>
      <w:r>
        <w:rPr>
          <w:b/>
          <w:sz w:val="28"/>
        </w:rPr>
        <w:t>Local Sports Tournament &amp; Bracket Manager</w:t>
      </w:r>
    </w:p>
    <w:p>
      <w:pPr>
        <w:jc w:val="center"/>
      </w:pPr>
      <w:r>
        <w:rPr>
          <w:i/>
          <w:sz w:val="20"/>
        </w:rPr>
        <w:t>Problem Statement #54 | Media, Events &amp; Community</w:t>
      </w:r>
    </w:p>
    <w:p>
      <w:pPr>
        <w:spacing w:after="120"/>
      </w:pPr>
      <w:r>
        <w:rPr>
          <w:sz w:val="20"/>
        </w:rPr>
        <w:t>Requirements Table — Exactly 5 Functional Requirements (FR-001 to FR-005) and 2 Non-Functional Requirements (NFR-001 to NFR-002).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Req ID</w:t>
            </w:r>
          </w:p>
        </w:tc>
        <w:tc>
          <w:tcPr>
            <w:tcW w:type="dxa" w:w="103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52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Acceptance Criteria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295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Comments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FR-001</w:t>
            </w:r>
          </w:p>
        </w:tc>
        <w:tc>
          <w:tcPr>
            <w:tcW w:type="dxa" w:w="1037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automatically generate seeded single- or double-elimination tournament brackets based on initial team rankings.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>
              <w:rPr>
                <w:sz w:val="15"/>
              </w:rPr>
              <w:t>PASS: For a valid tournament with registered teams and rankings, the generated bracket contains every team exactly once and every match has valid pairings. FAIL: Any duplicate/missing team or invalid pairing is produced.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Core tournament-management function; ensures a valid starting bracket without manual pairing errors.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5"/>
              </w:rPr>
              <w:t>Verify that both single- and double-elimination formats produce valid brackets for the supported team counts.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FR-002</w:t>
            </w:r>
          </w:p>
        </w:tc>
        <w:tc>
          <w:tcPr>
            <w:tcW w:type="dxa" w:w="1037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allow the Tournament Director or authorized Match Official to record and update the score of a live match.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>
              <w:rPr>
                <w:sz w:val="15"/>
              </w:rPr>
              <w:t>PASS: A valid score submission is stored and the match record shows the submitted scores. FAIL: An unauthorized user can change a score or an invalid score is accepted.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Live score recording is essential for determining winners and maintaining current tournament information.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5"/>
              </w:rPr>
              <w:t>Specify the allowed score format and ensure only authorized roles can edit scores.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FR-003</w:t>
            </w:r>
          </w:p>
        </w:tc>
        <w:tc>
          <w:tcPr>
            <w:tcW w:type="dxa" w:w="1037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determine the winner of a completed match using the recorded score and configured tournament tiebreaker rules when required.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>
              <w:rPr>
                <w:sz w:val="15"/>
              </w:rPr>
              <w:t>PASS: For a completed match, the system identifies exactly one winner according to the configured rules. FAIL: No winner, multiple winners, or an incorrect winner is produced.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Winner determination controls bracket progression and prevents inconsistent match outcomes.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5"/>
              </w:rPr>
              <w:t>Tiebreaker rules should be defined/configurable for the tournament format.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FR-004</w:t>
            </w:r>
          </w:p>
        </w:tc>
        <w:tc>
          <w:tcPr>
            <w:tcW w:type="dxa" w:w="1037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automatically update tournament standings, including wins, losses, points, and applicable score/goal differentials, after a valid match result is submitted.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>
              <w:rPr>
                <w:sz w:val="15"/>
              </w:rPr>
              <w:t>PASS: Within one successful result submission, the affected team's standings fields reflect the new result and differential. FAIL: Any affected value remains stale or inconsistent.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Accurate standings allow participants and organizers to track tournament progress.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5"/>
              </w:rPr>
              <w:t>Define the exact points and differential calculation rules for the selected sport.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FR-005</w:t>
            </w:r>
          </w:p>
        </w:tc>
        <w:tc>
          <w:tcPr>
            <w:tcW w:type="dxa" w:w="1037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publish the latest tournament bracket, match results, and league standings for authorized users to view.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>
              <w:rPr>
                <w:sz w:val="15"/>
              </w:rPr>
              <w:t>PASS: After a valid result update, the published view displays the latest bracket, result, and standings data. FAIL: The published view shows outdated or incomplete tournament information.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Participants need a reliable, current view of tournament progress and results.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5"/>
              </w:rPr>
              <w:t>Clarify whether publication is automatic after every result or manually triggered by the Tournament Director.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NFR-001</w:t>
            </w:r>
          </w:p>
        </w:tc>
        <w:tc>
          <w:tcPr>
            <w:tcW w:type="dxa" w:w="1037"/>
            <w:vAlign w:val="top"/>
          </w:tcPr>
          <w:p>
            <w:pPr>
              <w:spacing w:after="0"/>
            </w:pPr>
            <w:r>
              <w:rPr>
                <w:sz w:val="15"/>
              </w:rPr>
              <w:t>Nonfunctional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recalculate standings, score/goal differentials, and tournament leaderboard updates within 200 ms of a valid score submission under the defined peak-load test conditions.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>
              <w:rPr>
                <w:sz w:val="15"/>
              </w:rPr>
              <w:t>PASS: Benchmarking confirms the recalculation completes within 200 ms for at least 95% of valid score submissions during the defined peak-load test. FAIL: The 95th-percentile latency exceeds 200 ms.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Fast updates are required for a responsive live tournament experience.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5"/>
              </w:rPr>
              <w:t>Document the peak-load assumptions, number of concurrent users, and test environment.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NFR-002</w:t>
            </w:r>
          </w:p>
        </w:tc>
        <w:tc>
          <w:tcPr>
            <w:tcW w:type="dxa" w:w="1037"/>
            <w:vAlign w:val="top"/>
          </w:tcPr>
          <w:p>
            <w:pPr>
              <w:spacing w:after="0"/>
            </w:pPr>
            <w:r>
              <w:rPr>
                <w:sz w:val="15"/>
              </w:rPr>
              <w:t>Nonfunctional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restrict tournament administration, score modification, and bracket-management functions to authenticated users with the appropriate role permissions.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>
              <w:rPr>
                <w:sz w:val="15"/>
              </w:rPr>
              <w:t>PASS: Authorized users can perform permitted actions and unauthorized users are denied access in 100% of the defined access-control test cases. FAIL: Any unauthorized action succeeds.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sz w:val="15"/>
              </w:rPr>
              <w:t>Role-based access protects tournament data from unauthorized modification.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sz w:val="15"/>
              </w:rPr>
              <w:t>Test at least Team Captain, Match Official, and Tournament Director permission levels.</w:t>
            </w:r>
          </w:p>
        </w:tc>
      </w:tr>
    </w:tbl>
    <w:p>
      <w:pPr>
        <w:spacing w:before="120" w:after="0"/>
      </w:pPr>
      <w:r>
        <w:rPr>
          <w:i/>
          <w:sz w:val="16"/>
        </w:rPr>
        <w:t>Peer-review note: Comments identify items that should be clarified or verified during the critique/revision step.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