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 – USE-CASE FLOW SPECIFICATION</w:t>
      </w:r>
    </w:p>
    <w:p>
      <w:pPr>
        <w:jc w:val="center"/>
      </w:pPr>
      <w:r>
        <w:rPr>
          <w:b/>
          <w:sz w:val="26"/>
        </w:rPr>
        <w:t>Local Sports Tournament &amp; Bracket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8"/>
              </w:rPr>
              <w:t>UC-001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Use Case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 Tournament Bracket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Primary Actor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8"/>
              </w:rPr>
              <w:t>Tournament Director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Goal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 a valid seeded single- or double-elimination bracket from registered teams and their rankings.</w:t>
            </w:r>
          </w:p>
        </w:tc>
      </w:tr>
    </w:tbl>
    <w:p>
      <w:pPr>
        <w:spacing w:before="120" w:after="40"/>
      </w:pPr>
      <w:r>
        <w:rPr>
          <w:b/>
          <w:sz w:val="22"/>
        </w:rPr>
        <w:t>Preconditions</w:t>
      </w:r>
    </w:p>
    <w:p>
      <w:pPr>
        <w:spacing w:after="20"/>
        <w:ind w:left="288"/>
      </w:pPr>
      <w:r>
        <w:rPr>
          <w:sz w:val="18"/>
        </w:rPr>
        <w:t>• The Tournament Director is authenticated and has tournament-management permissions.</w:t>
      </w:r>
    </w:p>
    <w:p>
      <w:pPr>
        <w:spacing w:after="20"/>
        <w:ind w:left="288"/>
      </w:pPr>
      <w:r>
        <w:rPr>
          <w:sz w:val="18"/>
        </w:rPr>
        <w:t>• A tournament has been created and its format (single or double elimination) is selected.</w:t>
      </w:r>
    </w:p>
    <w:p>
      <w:pPr>
        <w:spacing w:after="20"/>
        <w:ind w:left="288"/>
      </w:pPr>
      <w:r>
        <w:rPr>
          <w:sz w:val="18"/>
        </w:rPr>
        <w:t>• Required teams are registered in the tournament.</w:t>
      </w:r>
    </w:p>
    <w:p>
      <w:pPr>
        <w:spacing w:after="20"/>
        <w:ind w:left="288"/>
      </w:pPr>
      <w:r>
        <w:rPr>
          <w:sz w:val="18"/>
        </w:rPr>
        <w:t>• Each registered team has a valid initial ranking or seed.</w:t>
      </w:r>
    </w:p>
    <w:p>
      <w:pPr>
        <w:spacing w:before="120" w:after="40"/>
      </w:pPr>
      <w:r>
        <w:rPr>
          <w:b/>
          <w:sz w:val="22"/>
        </w:rPr>
        <w:t>Postconditions</w:t>
      </w:r>
    </w:p>
    <w:p>
      <w:pPr>
        <w:spacing w:after="20"/>
        <w:ind w:left="288"/>
      </w:pPr>
      <w:r>
        <w:rPr>
          <w:sz w:val="18"/>
        </w:rPr>
        <w:t>• A valid tournament bracket is generated according to the selected format.</w:t>
      </w:r>
    </w:p>
    <w:p>
      <w:pPr>
        <w:spacing w:after="20"/>
        <w:ind w:left="288"/>
      </w:pPr>
      <w:r>
        <w:rPr>
          <w:sz w:val="18"/>
        </w:rPr>
        <w:t>• Every registered team is assigned to a valid bracket position and match pairing.</w:t>
      </w:r>
    </w:p>
    <w:p>
      <w:pPr>
        <w:spacing w:after="20"/>
        <w:ind w:left="288"/>
      </w:pPr>
      <w:r>
        <w:rPr>
          <w:sz w:val="18"/>
        </w:rPr>
        <w:t>• The generated bracket is stored by the system and is available for viewing.</w:t>
      </w:r>
    </w:p>
    <w:p>
      <w:pPr>
        <w:spacing w:before="120" w:after="40"/>
      </w:pPr>
      <w:r>
        <w:rPr>
          <w:b/>
          <w:sz w:val="22"/>
        </w:rPr>
        <w:t>Main Success Scenario</w:t>
      </w:r>
    </w:p>
    <w:p>
      <w:pPr>
        <w:spacing w:after="20"/>
        <w:ind w:left="288" w:hanging="216"/>
      </w:pPr>
      <w:r>
        <w:rPr>
          <w:sz w:val="18"/>
        </w:rPr>
        <w:t>1. Tournament Director selects the tournament and chooses Generate Tournament Bracket.</w:t>
      </w:r>
    </w:p>
    <w:p>
      <w:pPr>
        <w:spacing w:after="20"/>
        <w:ind w:left="288" w:hanging="216"/>
      </w:pPr>
      <w:r>
        <w:rPr>
          <w:sz w:val="18"/>
        </w:rPr>
        <w:t>2. System displays the selected tournament format and retrieves the registered teams and their rankings.</w:t>
      </w:r>
    </w:p>
    <w:p>
      <w:pPr>
        <w:spacing w:after="20"/>
        <w:ind w:left="288" w:hanging="216"/>
      </w:pPr>
      <w:r>
        <w:rPr>
          <w:sz w:val="18"/>
        </w:rPr>
        <w:t>3. Tournament Director confirms the tournament format and bracket generation request.</w:t>
      </w:r>
    </w:p>
    <w:p>
      <w:pPr>
        <w:spacing w:after="20"/>
        <w:ind w:left="288" w:hanging="216"/>
      </w:pPr>
      <w:r>
        <w:rPr>
          <w:sz w:val="18"/>
        </w:rPr>
        <w:t>4. System validates that all required teams and ranking/seed information are present and valid.</w:t>
      </w:r>
    </w:p>
    <w:p>
      <w:pPr>
        <w:spacing w:after="20"/>
        <w:ind w:left="288" w:hanging="216"/>
      </w:pPr>
      <w:r>
        <w:rPr>
          <w:sz w:val="18"/>
        </w:rPr>
        <w:t>5. System orders teams according to the initial rankings and assigns valid seeds.</w:t>
      </w:r>
    </w:p>
    <w:p>
      <w:pPr>
        <w:spacing w:after="20"/>
        <w:ind w:left="288" w:hanging="216"/>
      </w:pPr>
      <w:r>
        <w:rPr>
          <w:sz w:val="18"/>
        </w:rPr>
        <w:t>6. System generates the bracket using the selected single- or double-elimination format.</w:t>
      </w:r>
    </w:p>
    <w:p>
      <w:pPr>
        <w:spacing w:after="20"/>
        <w:ind w:left="288" w:hanging="216"/>
      </w:pPr>
      <w:r>
        <w:rPr>
          <w:sz w:val="18"/>
        </w:rPr>
        <w:t>7. System creates valid match pairings and assigns each team to a bracket position.</w:t>
      </w:r>
    </w:p>
    <w:p>
      <w:pPr>
        <w:spacing w:after="20"/>
        <w:ind w:left="288" w:hanging="216"/>
      </w:pPr>
      <w:r>
        <w:rPr>
          <w:sz w:val="18"/>
        </w:rPr>
        <w:t>8. System stores the generated bracket and its match structure.</w:t>
      </w:r>
    </w:p>
    <w:p>
      <w:pPr>
        <w:spacing w:after="20"/>
        <w:ind w:left="288" w:hanging="216"/>
      </w:pPr>
      <w:r>
        <w:rPr>
          <w:sz w:val="18"/>
        </w:rPr>
        <w:t>9. System displays the completed bracket to the Tournament Director.</w:t>
      </w:r>
    </w:p>
    <w:p>
      <w:pPr>
        <w:spacing w:after="20"/>
        <w:ind w:left="288" w:hanging="216"/>
      </w:pPr>
      <w:r>
        <w:rPr>
          <w:sz w:val="18"/>
        </w:rPr>
        <w:t>10. The Tournament Director can publish the bracket, and Team Captains can view the published bracket.</w:t>
      </w:r>
    </w:p>
    <w:p>
      <w:pPr>
        <w:spacing w:before="120" w:after="40"/>
      </w:pPr>
      <w:r>
        <w:rPr>
          <w:b/>
          <w:sz w:val="22"/>
        </w:rPr>
        <w:t>Alternate Flow – Invalid or Missing Seed Information</w:t>
      </w:r>
    </w:p>
    <w:p>
      <w:pPr>
        <w:spacing w:after="20"/>
        <w:ind w:left="288" w:hanging="216"/>
      </w:pPr>
      <w:r>
        <w:rPr>
          <w:sz w:val="18"/>
        </w:rPr>
        <w:t>A1. At Step 4, the system detects missing, duplicate, or invalid ranking/seed information.</w:t>
      </w:r>
    </w:p>
    <w:p>
      <w:pPr>
        <w:spacing w:after="20"/>
        <w:ind w:left="288" w:hanging="216"/>
      </w:pPr>
      <w:r>
        <w:rPr>
          <w:sz w:val="18"/>
        </w:rPr>
        <w:t>A2. System stops bracket generation and displays the specific validation error.</w:t>
      </w:r>
    </w:p>
    <w:p>
      <w:pPr>
        <w:spacing w:after="20"/>
        <w:ind w:left="288" w:hanging="216"/>
      </w:pPr>
      <w:r>
        <w:rPr>
          <w:sz w:val="18"/>
        </w:rPr>
        <w:t>A3. Tournament Director corrects the team ranking/seed information.</w:t>
      </w:r>
    </w:p>
    <w:p>
      <w:pPr>
        <w:spacing w:after="20"/>
        <w:ind w:left="288" w:hanging="216"/>
      </w:pPr>
      <w:r>
        <w:rPr>
          <w:sz w:val="18"/>
        </w:rPr>
        <w:t>A4. Tournament Director submits the generation request again.</w:t>
      </w:r>
    </w:p>
    <w:p>
      <w:pPr>
        <w:spacing w:after="20"/>
        <w:ind w:left="288" w:hanging="216"/>
      </w:pPr>
      <w:r>
        <w:rPr>
          <w:sz w:val="18"/>
        </w:rPr>
        <w:t>A5. System revalidates the information and continues from Step 5 of the Main Success Scenario.</w:t>
      </w:r>
    </w:p>
    <w:p>
      <w:pPr>
        <w:spacing w:before="120"/>
        <w:jc w:val="center"/>
      </w:pPr>
      <w:r>
        <w:rPr>
          <w:i/>
          <w:sz w:val="16"/>
        </w:rPr>
        <w:t>Lab 1 – Requirements Engineering &amp; UML Use-Case Modelling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