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lastRenderedPageBreak/>
        <w:br/>
      </w:r>
    </w:p>
    <w:p w:rsidR="00053673" w:rsidRPr="007D74CF" w:rsidRDefault="00053673" w:rsidP="00053673">
      <w:pPr>
        <w:pStyle w:val="NormalWeb"/>
        <w:spacing w:before="0" w:beforeAutospacing="0" w:after="0" w:afterAutospacing="0" w:line="270" w:lineRule="atLeast"/>
      </w:pPr>
      <w:r>
        <w:rPr>
          <w:b/>
          <w:bCs/>
        </w:rPr>
        <w:t>Use an interface</w:t>
      </w:r>
      <w:r>
        <w:br/>
      </w:r>
      <w:r w:rsidR="00640EF0">
        <w:t>-When we do not have idea about implementation we should use intrerface.</w:t>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interfaces to introduce polymorphic behavior without subclassing and to model multiple inheritance—allowing a specific type to support numerous behaviors.</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916FE7"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lastRenderedPageBreak/>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043FE2" w:rsidP="00AD12F5">
      <w:r>
        <w:rPr>
          <w:rFonts w:ascii="Georgia" w:hAnsi="Georgia"/>
          <w:color w:val="262626"/>
          <w:sz w:val="29"/>
          <w:szCs w:val="29"/>
          <w:shd w:val="clear" w:color="auto" w:fill="FFFFFF"/>
        </w:rPr>
        <w:t xml:space="preserve">Using interface based design concept provides loose coupling, component-based programming, easier maintainability, makes your </w:t>
      </w:r>
      <w:r>
        <w:rPr>
          <w:rFonts w:ascii="Georgia" w:hAnsi="Georgia"/>
          <w:color w:val="262626"/>
          <w:sz w:val="29"/>
          <w:szCs w:val="29"/>
          <w:shd w:val="clear" w:color="auto" w:fill="FFFFFF"/>
        </w:rPr>
        <w:lastRenderedPageBreak/>
        <w:t>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916FE7" w:rsidP="00ED5C5A">
      <w:pPr>
        <w:pStyle w:val="NormalWeb"/>
        <w:spacing w:before="0" w:beforeAutospacing="0" w:after="0" w:afterAutospacing="0" w:line="270" w:lineRule="atLeast"/>
        <w:rPr>
          <w:rFonts w:ascii="Segoe UI" w:hAnsi="Segoe UI" w:cs="Segoe UI"/>
          <w:color w:val="2A2A2A"/>
          <w:sz w:val="20"/>
          <w:szCs w:val="20"/>
        </w:rPr>
      </w:pPr>
      <w:hyperlink r:id="rId37"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are basically classes that can represent the CSharp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41">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 compiledExpression = expression.</w:t>
      </w:r>
      <w:r w:rsidRPr="00E05C7F">
        <w:rPr>
          <w:rFonts w:ascii="Consolas" w:eastAsia="Times New Roman" w:hAnsi="Consolas" w:cs="Times New Roman"/>
          <w:b/>
          <w:bCs/>
          <w:color w:val="5353A6"/>
          <w:sz w:val="24"/>
          <w:szCs w:val="24"/>
          <w:lang w:val="en-IN" w:eastAsia="en-IN"/>
        </w:rPr>
        <w:t>Compile</w:t>
      </w:r>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compiledExpression(</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objArray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lastRenderedPageBreak/>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SetObject(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objectParameter)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SetString(</w:t>
      </w:r>
      <w:r>
        <w:rPr>
          <w:rFonts w:ascii="Arial" w:hAnsi="Arial" w:cs="Arial"/>
          <w:color w:val="0000FF"/>
          <w:shd w:val="clear" w:color="auto" w:fill="FFFFFF"/>
        </w:rPr>
        <w:t>string</w:t>
      </w:r>
      <w:r>
        <w:rPr>
          <w:rStyle w:val="apple-converted-space"/>
          <w:rFonts w:ascii="Arial" w:hAnsi="Arial" w:cs="Arial"/>
          <w:color w:val="212121"/>
          <w:shd w:val="clear" w:color="auto" w:fill="FFFFFF"/>
        </w:rPr>
        <w:t> stringParameter)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&gt; del2 = SetObject;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lastRenderedPageBreak/>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From groupby where orderby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lastRenderedPageBreak/>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lastRenderedPageBreak/>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lastRenderedPageBreak/>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r>
        <w:rPr>
          <w:rFonts w:ascii="Helvetica" w:hAnsi="Helvetica"/>
          <w:color w:val="666666"/>
          <w:sz w:val="23"/>
          <w:szCs w:val="23"/>
          <w:shd w:val="clear" w:color="auto" w:fill="FFFFFF"/>
        </w:rPr>
        <w:t>DataContext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.NET Framework</w:t>
      </w:r>
      <w:r>
        <w:rPr>
          <w:rStyle w:val="apple-converted-space"/>
          <w:rFonts w:ascii="Segoe UI" w:hAnsi="Segoe UI" w:cs="Segoe UI"/>
          <w:color w:val="2A2A2A"/>
          <w:sz w:val="20"/>
          <w:szCs w:val="20"/>
        </w:rPr>
        <w:t> </w:t>
      </w:r>
      <w:hyperlink r:id="rId42"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916FE7">
            <w:pPr>
              <w:pStyle w:val="NormalWeb"/>
              <w:spacing w:before="0" w:beforeAutospacing="0" w:after="0" w:afterAutospacing="0" w:line="270" w:lineRule="atLeast"/>
              <w:rPr>
                <w:rFonts w:ascii="Segoe UI" w:hAnsi="Segoe UI" w:cs="Segoe UI"/>
                <w:color w:val="2A2A2A"/>
                <w:sz w:val="20"/>
                <w:szCs w:val="20"/>
              </w:rPr>
            </w:pPr>
            <w:hyperlink r:id="rId4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5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5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AbortRequested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r w:rsidRPr="00B1789E">
        <w:rPr>
          <w:rFonts w:ascii="Consolas" w:eastAsia="Times New Roman" w:hAnsi="Consolas" w:cs="Courier New"/>
          <w:color w:val="990000"/>
          <w:bdr w:val="none" w:sz="0" w:space="0" w:color="auto" w:frame="1"/>
          <w:lang w:val="en-IN" w:eastAsia="en-IN"/>
        </w:rPr>
        <w:t>IsBackground</w:t>
      </w:r>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Unstarted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WaitSleepJoin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the thread Thread2 then it enters WaitSleepJoin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2"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3"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5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7"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916FE7">
            <w:pPr>
              <w:pStyle w:val="NormalWeb"/>
              <w:spacing w:before="0" w:beforeAutospacing="0" w:after="0" w:afterAutospacing="0" w:line="270" w:lineRule="atLeast"/>
              <w:rPr>
                <w:color w:val="2A2A2A"/>
              </w:rPr>
            </w:pPr>
            <w:hyperlink r:id="rId58"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5"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6"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 xml:space="preserve">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w:t>
      </w:r>
      <w:r>
        <w:rPr>
          <w:rFonts w:ascii="Segoe UI" w:hAnsi="Segoe UI" w:cs="Segoe UI"/>
          <w:color w:val="2A2A2A"/>
          <w:sz w:val="20"/>
          <w:szCs w:val="20"/>
        </w:rPr>
        <w:lastRenderedPageBreak/>
        <w:t>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7"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8"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threads). Mutex provides safety againts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In a multiple instance of an application external threads are created so to ensure thread safety from an external threads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bookmarkStart w:id="0" w:name="_GoBack"/>
      <w:bookmarkEnd w:id="0"/>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 xml:space="preserve">Semaphore is also helps us to work with external threads and identifying whether an application is acquired by an external thread or not. But unlike </w:t>
      </w:r>
      <w:r>
        <w:rPr>
          <w:rFonts w:ascii="Lucida Sans Unicode" w:hAnsi="Lucida Sans Unicode" w:cs="Lucida Sans Unicode"/>
          <w:color w:val="4B4A4A"/>
          <w:shd w:val="clear" w:color="auto" w:fill="FFFFFF"/>
        </w:rPr>
        <w:lastRenderedPageBreak/>
        <w:t>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8"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hyperlink r:id="rId79"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80"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81"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82"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hyperlink r:id="rId83" w:history="1">
        <w:r>
          <w:rPr>
            <w:rStyle w:val="Hyperlink"/>
            <w:rFonts w:ascii="Segoe UI" w:hAnsi="Segoe UI" w:cs="Segoe UI"/>
            <w:color w:val="00709F"/>
            <w:sz w:val="20"/>
            <w:szCs w:val="20"/>
            <w:u w:val="none"/>
          </w:rPr>
          <w:t>ThreadPool</w:t>
        </w:r>
      </w:hyperlink>
      <w:r>
        <w:rPr>
          <w:rFonts w:ascii="Segoe UI" w:hAnsi="Segoe UI" w:cs="Segoe UI"/>
          <w:color w:val="2A2A2A"/>
          <w:sz w:val="20"/>
          <w:szCs w:val="20"/>
        </w:rPr>
        <w:t xml:space="preserve">, which has been enhanced with algorithms that determine and adjust to the number of threads and that provide load balancing to maximize </w:t>
      </w:r>
      <w:r>
        <w:rPr>
          <w:rFonts w:ascii="Segoe UI" w:hAnsi="Segoe UI" w:cs="Segoe UI"/>
          <w:color w:val="2A2A2A"/>
          <w:sz w:val="20"/>
          <w:szCs w:val="20"/>
        </w:rPr>
        <w:lastRenderedPageBreak/>
        <w:t>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4" w:history="1">
        <w:r>
          <w:rPr>
            <w:rStyle w:val="Hyperlink"/>
            <w:rFonts w:ascii="Segoe UI" w:hAnsi="Segoe UI" w:cs="Segoe UI"/>
            <w:color w:val="00709F"/>
            <w:sz w:val="20"/>
            <w:szCs w:val="20"/>
          </w:rPr>
          <w:t>Task.Run</w:t>
        </w:r>
      </w:hyperlink>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Task.Run( ()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5" w:history="1">
        <w:r>
          <w:rPr>
            <w:rStyle w:val="Hyperlink"/>
            <w:rFonts w:ascii="Segoe UI" w:hAnsi="Segoe UI" w:cs="Segoe UI"/>
            <w:color w:val="00709F"/>
            <w:sz w:val="20"/>
            <w:szCs w:val="20"/>
          </w:rPr>
          <w:t>TaskFactory.StartNew</w:t>
        </w:r>
      </w:hyperlink>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Task.Factory.StartNew(()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There are three return types, you can use in async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TaskCanceledException: A task was canceled.</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NotSupportedException: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An async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args)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i = 1; i &lt; 10; i++)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i;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lastRenderedPageBreak/>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Console.ReadKey();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 token = cancellationTokenSource.Token;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args)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 token = cancellationTokenSource.Token;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i = 0; i &lt; 100000;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(token.IsCancellationRequested)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task.Start();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//canceling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lastRenderedPageBreak/>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lastRenderedPageBreak/>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02A95"/>
    <w:rsid w:val="00B1789E"/>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A3E5"/>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0b0thckt.aspx" TargetMode="External"/><Relationship Id="rId21" Type="http://schemas.openxmlformats.org/officeDocument/2006/relationships/hyperlink" Target="https://www.codeproject.com/Articles/18734/Method-Overriding-in-C" TargetMode="External"/><Relationship Id="rId42" Type="http://schemas.openxmlformats.org/officeDocument/2006/relationships/hyperlink" Target="https://msdn.microsoft.com/en-us/library/system.threading(v=vs.100).aspx" TargetMode="External"/><Relationship Id="rId47" Type="http://schemas.openxmlformats.org/officeDocument/2006/relationships/hyperlink" Target="https://msdn.microsoft.com/en-us/library/system.threading.thread.abort(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monitor.exit(v=vs.100).aspx" TargetMode="External"/><Relationship Id="rId84" Type="http://schemas.openxmlformats.org/officeDocument/2006/relationships/hyperlink" Target="https://msdn.microsoft.com/en-us/library/system.threading.tasks.task.run(v=vs.110).aspx" TargetMode="Externa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xml.serialization.aspx" TargetMode="External"/><Relationship Id="rId37" Type="http://schemas.openxmlformats.org/officeDocument/2006/relationships/hyperlink" Target="https://www.codeproject.com/Articles/22787/Custom-Serialization-Example" TargetMode="External"/><Relationship Id="rId53" Type="http://schemas.openxmlformats.org/officeDocument/2006/relationships/hyperlink" Target="https://msdn.microsoft.com/en-us/library/system.threading.thread.isbackground(v=vs.100).aspx" TargetMode="External"/><Relationship Id="rId58" Type="http://schemas.openxmlformats.org/officeDocument/2006/relationships/hyperlink" Target="https://msdn.microsoft.com/en-us/library/system.threading.thread.threadstate(v=vs.100).aspx" TargetMode="External"/><Relationship Id="rId74" Type="http://schemas.openxmlformats.org/officeDocument/2006/relationships/hyperlink" Target="https://msdn.microsoft.com/en-us/library/system.threading.waithandle.waitone(v=vs.100).aspx" TargetMode="External"/><Relationship Id="rId79" Type="http://schemas.openxmlformats.org/officeDocument/2006/relationships/hyperlink" Target="https://msdn.microsoft.com/en-us/library/system.threading.waithandle.waitall(v=vs.100).aspx" TargetMode="External"/><Relationship Id="rId5" Type="http://schemas.openxmlformats.org/officeDocument/2006/relationships/hyperlink" Target="https://msdn.microsoft.com/en-us/library/ace5hbzh.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collections.arraylist.aspx" TargetMode="External"/><Relationship Id="rId35" Type="http://schemas.openxmlformats.org/officeDocument/2006/relationships/hyperlink" Target="https://msdn.microsoft.com/en-us/library/system.serializableattribute.aspx" TargetMode="External"/><Relationship Id="rId43" Type="http://schemas.openxmlformats.org/officeDocument/2006/relationships/hyperlink" Target="https://msdn.microsoft.com/en-us/library/e1dx6b2h(v=vs.100).aspx" TargetMode="External"/><Relationship Id="rId48" Type="http://schemas.openxmlformats.org/officeDocument/2006/relationships/hyperlink" Target="https://msdn.microsoft.com/en-us/library/system.threading.thread.resume(v=vs.100).aspx" TargetMode="External"/><Relationship Id="rId56" Type="http://schemas.openxmlformats.org/officeDocument/2006/relationships/hyperlink" Target="https://msdn.microsoft.com/en-us/library/system.threading.thread.priority(v=vs.100).aspx" TargetMode="External"/><Relationship Id="rId64" Type="http://schemas.openxmlformats.org/officeDocument/2006/relationships/hyperlink" Target="https://msdn.microsoft.com/en-us/library/system.threading.thread(v=vs.100).aspx" TargetMode="External"/><Relationship Id="rId69" Type="http://schemas.openxmlformats.org/officeDocument/2006/relationships/hyperlink" Target="https://msdn.microsoft.com/en-us/library/system.threading.autoresetevent(v=vs.100).aspx" TargetMode="External"/><Relationship Id="rId77" Type="http://schemas.openxmlformats.org/officeDocument/2006/relationships/hyperlink" Target="https://msdn.microsoft.com/en-us/library/system.threading.waithandle.waitone(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suspend(v=vs.100).aspx" TargetMode="External"/><Relationship Id="rId72" Type="http://schemas.openxmlformats.org/officeDocument/2006/relationships/hyperlink" Target="https://msdn.microsoft.com/en-us/library/system.threading.manualresetevent(v=vs.100).aspx" TargetMode="External"/><Relationship Id="rId80" Type="http://schemas.openxmlformats.org/officeDocument/2006/relationships/hyperlink" Target="https://msdn.microsoft.com/en-us/library/system.threading.eventwaithandle.set(v=vs.100).aspx" TargetMode="External"/><Relationship Id="rId85" Type="http://schemas.openxmlformats.org/officeDocument/2006/relationships/hyperlink" Target="https://msdn.microsoft.com/en-us/library/system.threading.tasks.taskfactory.startnew(v=vs.11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system.serializableattribute.aspx" TargetMode="External"/><Relationship Id="rId38" Type="http://schemas.openxmlformats.org/officeDocument/2006/relationships/hyperlink" Target="https://msdn.microsoft.com/en-us/library/system.type.aspx" TargetMode="External"/><Relationship Id="rId46" Type="http://schemas.openxmlformats.org/officeDocument/2006/relationships/hyperlink" Target="https://msdn.microsoft.com/en-us/library/system.threading.thread.suspend(v=vs.100).aspx" TargetMode="External"/><Relationship Id="rId59" Type="http://schemas.openxmlformats.org/officeDocument/2006/relationships/hyperlink" Target="https://msdn.microsoft.com/en-us/library/system.threading.thread.priority(v=vs.100).aspx" TargetMode="External"/><Relationship Id="rId67" Type="http://schemas.openxmlformats.org/officeDocument/2006/relationships/hyperlink" Target="https://msdn.microsoft.com/en-us/library/system.threading.monitor.enter(v=vs.100).aspx" TargetMode="External"/><Relationship Id="rId20" Type="http://schemas.openxmlformats.org/officeDocument/2006/relationships/hyperlink" Target="https://msdn.microsoft.com/en-us/library/ebca9ah3.aspx" TargetMode="External"/><Relationship Id="rId41" Type="http://schemas.openxmlformats.org/officeDocument/2006/relationships/image" Target="media/image1.jpg"/><Relationship Id="rId54" Type="http://schemas.openxmlformats.org/officeDocument/2006/relationships/hyperlink" Target="https://msdn.microsoft.com/en-us/library/system.threading.thread.abort(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manualresetevent(v=vs.100).aspx" TargetMode="External"/><Relationship Id="rId75" Type="http://schemas.openxmlformats.org/officeDocument/2006/relationships/hyperlink" Target="https://msdn.microsoft.com/en-us/library/system.threading.waithandle.waitany(v=vs.100).aspx" TargetMode="External"/><Relationship Id="rId83" Type="http://schemas.openxmlformats.org/officeDocument/2006/relationships/hyperlink" Target="https://msdn.microsoft.com/en-us/library/system.threading.threadpool(v=vs.11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runtime.serialization.iserializable.aspx" TargetMode="External"/><Relationship Id="rId49" Type="http://schemas.openxmlformats.org/officeDocument/2006/relationships/hyperlink" Target="https://msdn.microsoft.com/en-us/library/system.threading.thread.join(v=vs.100).aspx" TargetMode="External"/><Relationship Id="rId57" Type="http://schemas.openxmlformats.org/officeDocument/2006/relationships/hyperlink" Target="https://msdn.microsoft.com/en-us/library/system.threading.thread.apartmentstate(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collections.aspx" TargetMode="External"/><Relationship Id="rId44" Type="http://schemas.openxmlformats.org/officeDocument/2006/relationships/hyperlink" Target="https://msdn.microsoft.com/en-us/library/system.threading.thread.start(v=vs.100).aspx" TargetMode="External"/><Relationship Id="rId52" Type="http://schemas.openxmlformats.org/officeDocument/2006/relationships/hyperlink" Target="https://msdn.microsoft.com/en-us/library/system.threading.thread.isalive(v=vs.100).aspx" TargetMode="External"/><Relationship Id="rId60" Type="http://schemas.openxmlformats.org/officeDocument/2006/relationships/hyperlink" Target="https://msdn.microsoft.com/en-us/library/system.threading.threadpriority(v=vs.100).aspx" TargetMode="External"/><Relationship Id="rId65" Type="http://schemas.openxmlformats.org/officeDocument/2006/relationships/hyperlink" Target="https://msdn.microsoft.com/en-us/library/system.threading.thread(v=vs.100).aspx" TargetMode="External"/><Relationship Id="rId73" Type="http://schemas.openxmlformats.org/officeDocument/2006/relationships/hyperlink" Target="https://msdn.microsoft.com/en-us/library/system.threading.eventwaithandle.reset(v=vs.100).aspx" TargetMode="External"/><Relationship Id="rId78" Type="http://schemas.openxmlformats.org/officeDocument/2006/relationships/hyperlink" Target="https://msdn.microsoft.com/en-us/library/system.threading.waithandle.waitany(v=vs.100).aspx" TargetMode="External"/><Relationship Id="rId81" Type="http://schemas.openxmlformats.org/officeDocument/2006/relationships/hyperlink" Target="https://msdn.microsoft.com/en-us/library/system.threading.readerwriterlockslim(v=vs.100).aspx"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hyperlink" Target="https://msdn.microsoft.com/en-us/library/71s1zwct.aspx" TargetMode="External"/><Relationship Id="rId34" Type="http://schemas.openxmlformats.org/officeDocument/2006/relationships/hyperlink" Target="https://msdn.microsoft.com/en-us/library/system.nonserializedattribute.aspx" TargetMode="External"/><Relationship Id="rId50" Type="http://schemas.openxmlformats.org/officeDocument/2006/relationships/hyperlink" Target="https://msdn.microsoft.com/en-us/library/system.threading.thread.abort(v=vs.100).aspx" TargetMode="External"/><Relationship Id="rId55" Type="http://schemas.openxmlformats.org/officeDocument/2006/relationships/hyperlink" Target="https://msdn.microsoft.com/en-us/library/system.threading.thread.name(v=vs.100).aspx" TargetMode="External"/><Relationship Id="rId76" Type="http://schemas.openxmlformats.org/officeDocument/2006/relationships/hyperlink" Target="https://msdn.microsoft.com/en-us/library/system.threading.waithandle.waitall(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autoresetevent(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generic.aspx" TargetMode="External"/><Relationship Id="rId24" Type="http://schemas.openxmlformats.org/officeDocument/2006/relationships/hyperlink" Target="https://msdn.microsoft.com/en-us/library/0b0thckt.aspx" TargetMode="External"/><Relationship Id="rId40" Type="http://schemas.openxmlformats.org/officeDocument/2006/relationships/hyperlink" Target="https://msdn.microsoft.com/en-us/library/system.reflection.emit.aspx" TargetMode="External"/><Relationship Id="rId45" Type="http://schemas.openxmlformats.org/officeDocument/2006/relationships/hyperlink" Target="https://msdn.microsoft.com/en-us/library/system.threading.thread.sleep(v=vs.100).aspx" TargetMode="External"/><Relationship Id="rId66" Type="http://schemas.openxmlformats.org/officeDocument/2006/relationships/hyperlink" Target="https://msdn.microsoft.com/en-us/library/system.threading.thread(v=vs.100).aspx" TargetMode="External"/><Relationship Id="rId87" Type="http://schemas.openxmlformats.org/officeDocument/2006/relationships/theme" Target="theme/theme1.xml"/><Relationship Id="rId61" Type="http://schemas.openxmlformats.org/officeDocument/2006/relationships/image" Target="media/image2.gif"/><Relationship Id="rId82" Type="http://schemas.openxmlformats.org/officeDocument/2006/relationships/hyperlink" Target="https://msdn.microsoft.com/en-us/library/5xt1dysy(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23</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59</cp:revision>
  <dcterms:created xsi:type="dcterms:W3CDTF">2017-02-20T16:22:00Z</dcterms:created>
  <dcterms:modified xsi:type="dcterms:W3CDTF">2017-03-21T03:53:00Z</dcterms:modified>
</cp:coreProperties>
</file>