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magicpin Vera AI Challenge</w:t>
        <w:br/>
        <w:t>Master Project Specification</w:t>
      </w:r>
    </w:p>
    <w:p>
      <w:pPr>
        <w:jc w:val="center"/>
      </w:pPr>
      <w:r>
        <w:rPr>
          <w:i/>
          <w:sz w:val="22"/>
        </w:rPr>
        <w:t>Implementation, architecture, evaluation, deployment, and Integravity execution brief</w:t>
      </w:r>
    </w:p>
    <w:p/>
    <w:p>
      <w:pPr>
        <w:jc w:val="center"/>
      </w:pPr>
      <w:r>
        <w:rPr>
          <w:sz w:val="18"/>
        </w:rPr>
        <w:t>Source basis: challenge-brief.md, challenge-testing-brief.md, engagement-design.md, engagement-research.md, examples/api-call-examples.md, examples/case-studies.md</w:t>
      </w:r>
    </w:p>
    <w:p>
      <w:pPr>
        <w:pStyle w:val="Heading1"/>
        <w:spacing w:before="200" w:after="100"/>
      </w:pPr>
      <w:r>
        <w:t>1. Executive Summary</w:t>
      </w:r>
    </w:p>
    <w:p>
      <w:r>
        <w:t>Build a stateful AI message engine for magicpin's Vera merchant-growth assistant. The core function is deterministic composition from structured CategoryContext, MerchantContext, TriggerContext, and optional CustomerContext. The production-style evaluation is performed by an HTTP judge harness, not by a live WhatsApp integration. The submitted system must expose five public endpoints, persist pushed context during the test, make proactive decisions on /v1/tick, and handle simulated merchant/customer replies on /v1/reply.</w:t>
      </w:r>
    </w:p>
    <w:p>
      <w:r>
        <w:t>The winning implementation focus is decision quality and grounded personalization: choose the most relevant signal, use facts actually present in the pushed context, match category voice, adapt to merchant state, explain why the message is happening now, and make the next action low-friction.</w:t>
      </w:r>
    </w:p>
    <w:p>
      <w:pPr>
        <w:pStyle w:val="Heading1"/>
        <w:spacing w:before="200" w:after="100"/>
      </w:pPr>
      <w:r>
        <w:t>2. What the challenge is actually testing</w:t>
      </w:r>
    </w:p>
    <w:p>
      <w:pPr>
        <w:pStyle w:val="ListBullet"/>
        <w:spacing w:after="40"/>
      </w:pPr>
      <w:r>
        <w:t>Whether the system can decide what Vera should say next, not merely generate fluent copy.</w:t>
      </w:r>
    </w:p>
    <w:p>
      <w:pPr>
        <w:pStyle w:val="ListBullet"/>
        <w:spacing w:after="40"/>
      </w:pPr>
      <w:r>
        <w:t>Whether the system grounds every message in the current structured context and adapts to new context injected after submission.</w:t>
      </w:r>
    </w:p>
    <w:p>
      <w:pPr>
        <w:pStyle w:val="ListBullet"/>
        <w:spacing w:after="40"/>
      </w:pPr>
      <w:r>
        <w:t>Whether the system can route between merchant-facing and customer-facing engagement correctly.</w:t>
      </w:r>
    </w:p>
    <w:p>
      <w:pPr>
        <w:pStyle w:val="ListBullet"/>
        <w:spacing w:after="40"/>
      </w:pPr>
      <w:r>
        <w:t>Whether the system can behave reliably across proactive ticks and multi-turn replies.</w:t>
      </w:r>
    </w:p>
    <w:p>
      <w:pPr>
        <w:pStyle w:val="ListBullet"/>
        <w:spacing w:after="40"/>
      </w:pPr>
      <w:r>
        <w:t>Whether the system can stop, wait, or switch to action mode instead of repeatedly pitching.</w:t>
      </w:r>
    </w:p>
    <w:p>
      <w:pPr>
        <w:pStyle w:val="ListBullet"/>
        <w:spacing w:after="40"/>
      </w:pPr>
      <w:r>
        <w:t>Whether the implementation is fast, deterministic, schema-correct, and deployable.</w:t>
      </w:r>
    </w:p>
    <w:p>
      <w:pPr>
        <w:pStyle w:val="Heading1"/>
        <w:spacing w:before="200" w:after="100"/>
      </w:pPr>
      <w:r>
        <w:t>3. Deliverables and evaluation interface</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3408"/>
            <w:vAlign w:val="center"/>
            <w:shd w:fill="D9EAF7"/>
          </w:tcPr>
          <w:p>
            <w:r/>
            <w:r>
              <w:rPr>
                <w:b/>
                <w:sz w:val="18"/>
              </w:rPr>
              <w:t>Item</w:t>
            </w:r>
          </w:p>
        </w:tc>
        <w:tc>
          <w:tcPr>
            <w:tcW w:type="dxa" w:w="3408"/>
            <w:vAlign w:val="center"/>
            <w:shd w:fill="D9EAF7"/>
          </w:tcPr>
          <w:p>
            <w:r/>
            <w:r>
              <w:rPr>
                <w:b/>
                <w:sz w:val="18"/>
              </w:rPr>
              <w:t>Requirement</w:t>
            </w:r>
          </w:p>
        </w:tc>
        <w:tc>
          <w:tcPr>
            <w:tcW w:type="dxa" w:w="3408"/>
            <w:vAlign w:val="center"/>
            <w:shd w:fill="D9EAF7"/>
          </w:tcPr>
          <w:p>
            <w:r/>
            <w:r>
              <w:rPr>
                <w:b/>
                <w:sz w:val="18"/>
              </w:rPr>
              <w:t>Implementation note</w:t>
            </w:r>
          </w:p>
        </w:tc>
      </w:tr>
      <w:tr>
        <w:trPr>
          <w:cantSplit/>
        </w:trPr>
        <w:tc>
          <w:tcPr>
            <w:tcW w:type="dxa" w:w="3408"/>
            <w:vAlign w:val="center"/>
          </w:tcPr>
          <w:p>
            <w:r/>
            <w:r>
              <w:rPr>
                <w:b w:val="0"/>
                <w:sz w:val="18"/>
              </w:rPr>
              <w:t>Core composition</w:t>
            </w:r>
          </w:p>
        </w:tc>
        <w:tc>
          <w:tcPr>
            <w:tcW w:type="dxa" w:w="3408"/>
            <w:vAlign w:val="center"/>
          </w:tcPr>
          <w:p>
            <w:r/>
            <w:r>
              <w:rPr>
                <w:b w:val="0"/>
                <w:sz w:val="18"/>
              </w:rPr>
              <w:t>compose(category, merchant, trigger, customer?)</w:t>
            </w:r>
          </w:p>
        </w:tc>
        <w:tc>
          <w:tcPr>
            <w:tcW w:type="dxa" w:w="3408"/>
            <w:vAlign w:val="center"/>
          </w:tcPr>
          <w:p>
            <w:r/>
            <w:r>
              <w:rPr>
                <w:b w:val="0"/>
                <w:sz w:val="18"/>
              </w:rPr>
              <w:t>Return body, cta, send_as, suppression_key, rationale.</w:t>
            </w:r>
          </w:p>
        </w:tc>
      </w:tr>
      <w:tr>
        <w:trPr>
          <w:cantSplit/>
        </w:trPr>
        <w:tc>
          <w:tcPr>
            <w:tcW w:type="dxa" w:w="3408"/>
            <w:vAlign w:val="center"/>
          </w:tcPr>
          <w:p>
            <w:r/>
            <w:r>
              <w:rPr>
                <w:b w:val="0"/>
                <w:sz w:val="18"/>
              </w:rPr>
              <w:t>HTTP service</w:t>
            </w:r>
          </w:p>
        </w:tc>
        <w:tc>
          <w:tcPr>
            <w:tcW w:type="dxa" w:w="3408"/>
            <w:vAlign w:val="center"/>
          </w:tcPr>
          <w:p>
            <w:r/>
            <w:r>
              <w:rPr>
                <w:b w:val="0"/>
                <w:sz w:val="18"/>
              </w:rPr>
              <w:t>Public bot URL</w:t>
            </w:r>
          </w:p>
        </w:tc>
        <w:tc>
          <w:tcPr>
            <w:tcW w:type="dxa" w:w="3408"/>
            <w:vAlign w:val="center"/>
          </w:tcPr>
          <w:p>
            <w:r/>
            <w:r>
              <w:rPr>
                <w:b w:val="0"/>
                <w:sz w:val="18"/>
              </w:rPr>
              <w:t>Expose /v1/healthz, /v1/metadata, /v1/context, /v1/tick, /v1/reply.</w:t>
            </w:r>
          </w:p>
        </w:tc>
      </w:tr>
      <w:tr>
        <w:trPr>
          <w:cantSplit/>
        </w:trPr>
        <w:tc>
          <w:tcPr>
            <w:tcW w:type="dxa" w:w="3408"/>
            <w:vAlign w:val="center"/>
          </w:tcPr>
          <w:p>
            <w:r/>
            <w:r>
              <w:rPr>
                <w:b w:val="0"/>
                <w:sz w:val="18"/>
              </w:rPr>
              <w:t>Context ingestion</w:t>
            </w:r>
          </w:p>
        </w:tc>
        <w:tc>
          <w:tcPr>
            <w:tcW w:type="dxa" w:w="3408"/>
            <w:vAlign w:val="center"/>
          </w:tcPr>
          <w:p>
            <w:r/>
            <w:r>
              <w:rPr>
                <w:b w:val="0"/>
                <w:sz w:val="18"/>
              </w:rPr>
              <w:t>Idempotent versioned context store</w:t>
            </w:r>
          </w:p>
        </w:tc>
        <w:tc>
          <w:tcPr>
            <w:tcW w:type="dxa" w:w="3408"/>
            <w:vAlign w:val="center"/>
          </w:tcPr>
          <w:p>
            <w:r/>
            <w:r>
              <w:rPr>
                <w:b w:val="0"/>
                <w:sz w:val="18"/>
              </w:rPr>
              <w:t>Same version = no-op; higher version = atomic replacement; stale version = conflict.</w:t>
            </w:r>
          </w:p>
        </w:tc>
      </w:tr>
      <w:tr>
        <w:trPr>
          <w:cantSplit/>
        </w:trPr>
        <w:tc>
          <w:tcPr>
            <w:tcW w:type="dxa" w:w="3408"/>
            <w:vAlign w:val="center"/>
          </w:tcPr>
          <w:p>
            <w:r/>
            <w:r>
              <w:rPr>
                <w:b w:val="0"/>
                <w:sz w:val="18"/>
              </w:rPr>
              <w:t>Proactive behavior</w:t>
            </w:r>
          </w:p>
        </w:tc>
        <w:tc>
          <w:tcPr>
            <w:tcW w:type="dxa" w:w="3408"/>
            <w:vAlign w:val="center"/>
          </w:tcPr>
          <w:p>
            <w:r/>
            <w:r>
              <w:rPr>
                <w:b w:val="0"/>
                <w:sz w:val="18"/>
              </w:rPr>
              <w:t>/v1/tick</w:t>
            </w:r>
          </w:p>
        </w:tc>
        <w:tc>
          <w:tcPr>
            <w:tcW w:type="dxa" w:w="3408"/>
            <w:vAlign w:val="center"/>
          </w:tcPr>
          <w:p>
            <w:r/>
            <w:r>
              <w:rPr>
                <w:b w:val="0"/>
                <w:sz w:val="18"/>
              </w:rPr>
              <w:t>Return 0..20 actions; empty actions are allowed.</w:t>
            </w:r>
          </w:p>
        </w:tc>
      </w:tr>
      <w:tr>
        <w:trPr>
          <w:cantSplit/>
        </w:trPr>
        <w:tc>
          <w:tcPr>
            <w:tcW w:type="dxa" w:w="3408"/>
            <w:vAlign w:val="center"/>
          </w:tcPr>
          <w:p>
            <w:r/>
            <w:r>
              <w:rPr>
                <w:b w:val="0"/>
                <w:sz w:val="18"/>
              </w:rPr>
              <w:t>Conversation behavior</w:t>
            </w:r>
          </w:p>
        </w:tc>
        <w:tc>
          <w:tcPr>
            <w:tcW w:type="dxa" w:w="3408"/>
            <w:vAlign w:val="center"/>
          </w:tcPr>
          <w:p>
            <w:r/>
            <w:r>
              <w:rPr>
                <w:b w:val="0"/>
                <w:sz w:val="18"/>
              </w:rPr>
              <w:t>/v1/reply</w:t>
            </w:r>
          </w:p>
        </w:tc>
        <w:tc>
          <w:tcPr>
            <w:tcW w:type="dxa" w:w="3408"/>
            <w:vAlign w:val="center"/>
          </w:tcPr>
          <w:p>
            <w:r/>
            <w:r>
              <w:rPr>
                <w:b w:val="0"/>
                <w:sz w:val="18"/>
              </w:rPr>
              <w:t>Return send, wait, or end.</w:t>
            </w:r>
          </w:p>
        </w:tc>
      </w:tr>
      <w:tr>
        <w:trPr>
          <w:cantSplit/>
        </w:trPr>
        <w:tc>
          <w:tcPr>
            <w:tcW w:type="dxa" w:w="3408"/>
            <w:vAlign w:val="center"/>
          </w:tcPr>
          <w:p>
            <w:r/>
            <w:r>
              <w:rPr>
                <w:b w:val="0"/>
                <w:sz w:val="18"/>
              </w:rPr>
              <w:t>Local testing</w:t>
            </w:r>
          </w:p>
        </w:tc>
        <w:tc>
          <w:tcPr>
            <w:tcW w:type="dxa" w:w="3408"/>
            <w:vAlign w:val="center"/>
          </w:tcPr>
          <w:p>
            <w:r/>
            <w:r>
              <w:rPr>
                <w:b w:val="0"/>
                <w:sz w:val="18"/>
              </w:rPr>
              <w:t>judge_simulator.py</w:t>
            </w:r>
          </w:p>
        </w:tc>
        <w:tc>
          <w:tcPr>
            <w:tcW w:type="dxa" w:w="3408"/>
            <w:vAlign w:val="center"/>
          </w:tcPr>
          <w:p>
            <w:r/>
            <w:r>
              <w:rPr>
                <w:b w:val="0"/>
                <w:sz w:val="18"/>
              </w:rPr>
              <w:t>Run continuously during development.</w:t>
            </w:r>
          </w:p>
        </w:tc>
      </w:tr>
      <w:tr>
        <w:trPr>
          <w:cantSplit/>
        </w:trPr>
        <w:tc>
          <w:tcPr>
            <w:tcW w:type="dxa" w:w="3408"/>
            <w:vAlign w:val="center"/>
          </w:tcPr>
          <w:p>
            <w:r/>
            <w:r>
              <w:rPr>
                <w:b w:val="0"/>
                <w:sz w:val="18"/>
              </w:rPr>
              <w:t>Submission artifact</w:t>
            </w:r>
          </w:p>
        </w:tc>
        <w:tc>
          <w:tcPr>
            <w:tcW w:type="dxa" w:w="3408"/>
            <w:vAlign w:val="center"/>
          </w:tcPr>
          <w:p>
            <w:r/>
            <w:r>
              <w:rPr>
                <w:b w:val="0"/>
                <w:sz w:val="18"/>
              </w:rPr>
              <w:t>README + required code/output artifacts</w:t>
            </w:r>
          </w:p>
        </w:tc>
        <w:tc>
          <w:tcPr>
            <w:tcW w:type="dxa" w:w="3408"/>
            <w:vAlign w:val="center"/>
          </w:tcPr>
          <w:p>
            <w:r/>
            <w:r>
              <w:rPr>
                <w:b w:val="0"/>
                <w:sz w:val="18"/>
              </w:rPr>
              <w:t>Also keep the public URL live for evaluation.</w:t>
            </w:r>
          </w:p>
        </w:tc>
      </w:tr>
    </w:tbl>
    <w:p/>
    <w:p>
      <w:pPr>
        <w:pStyle w:val="Heading1"/>
        <w:spacing w:before="200" w:after="100"/>
      </w:pPr>
      <w:r>
        <w:t>4. Context model</w:t>
      </w:r>
    </w:p>
    <w:p>
      <w:pPr>
        <w:pStyle w:val="Heading2"/>
        <w:spacing w:before="200" w:after="100"/>
      </w:pPr>
      <w:r>
        <w:t>4.1 CategoryContext</w:t>
      </w:r>
    </w:p>
    <w:p>
      <w:pPr>
        <w:pStyle w:val="ListBullet"/>
        <w:spacing w:after="40"/>
      </w:pPr>
      <w:r>
        <w:t>slug: category identifier such as dentists, salons, restaurants, gyms, pharmacies.</w:t>
      </w:r>
    </w:p>
    <w:p>
      <w:pPr>
        <w:pStyle w:val="ListBullet"/>
        <w:spacing w:after="40"/>
      </w:pPr>
      <w:r>
        <w:t>offer_catalog: canonical category offer patterns.</w:t>
      </w:r>
    </w:p>
    <w:p>
      <w:pPr>
        <w:pStyle w:val="ListBullet"/>
        <w:spacing w:after="40"/>
      </w:pPr>
      <w:r>
        <w:t>voice: tone, allowed vocabulary, taboos.</w:t>
      </w:r>
    </w:p>
    <w:p>
      <w:pPr>
        <w:pStyle w:val="ListBullet"/>
        <w:spacing w:after="40"/>
      </w:pPr>
      <w:r>
        <w:t>peer_stats: benchmark metrics such as rating, reviews, CTR and scope.</w:t>
      </w:r>
    </w:p>
    <w:p>
      <w:pPr>
        <w:pStyle w:val="ListBullet"/>
        <w:spacing w:after="40"/>
      </w:pPr>
      <w:r>
        <w:t>digest: research, compliance, trend or other source-cited knowledge items.</w:t>
      </w:r>
    </w:p>
    <w:p>
      <w:pPr>
        <w:pStyle w:val="ListBullet"/>
        <w:spacing w:after="40"/>
      </w:pPr>
      <w:r>
        <w:t>patient_content_library: category-relevant shareable content.</w:t>
      </w:r>
    </w:p>
    <w:p>
      <w:pPr>
        <w:pStyle w:val="ListBullet"/>
        <w:spacing w:after="40"/>
      </w:pPr>
      <w:r>
        <w:t>seasonal_beats: time-based category moments.</w:t>
      </w:r>
    </w:p>
    <w:p>
      <w:pPr>
        <w:pStyle w:val="ListBullet"/>
        <w:spacing w:after="40"/>
      </w:pPr>
      <w:r>
        <w:t>trend_signals: category search or demand signals.</w:t>
      </w:r>
    </w:p>
    <w:p>
      <w:pPr>
        <w:pStyle w:val="Heading2"/>
        <w:spacing w:before="200" w:after="100"/>
      </w:pPr>
      <w:r>
        <w:t>4.2 MerchantContext</w:t>
      </w:r>
    </w:p>
    <w:p>
      <w:pPr>
        <w:pStyle w:val="ListBullet"/>
        <w:spacing w:after="40"/>
      </w:pPr>
      <w:r>
        <w:t>merchant_id and category linkage.</w:t>
      </w:r>
    </w:p>
    <w:p>
      <w:pPr>
        <w:pStyle w:val="ListBullet"/>
        <w:spacing w:after="40"/>
      </w:pPr>
      <w:r>
        <w:t>identity: name, city, locality, place/verification information, supported languages.</w:t>
      </w:r>
    </w:p>
    <w:p>
      <w:pPr>
        <w:pStyle w:val="ListBullet"/>
        <w:spacing w:after="40"/>
      </w:pPr>
      <w:r>
        <w:t>subscription: status, plan, days remaining.</w:t>
      </w:r>
    </w:p>
    <w:p>
      <w:pPr>
        <w:pStyle w:val="ListBullet"/>
        <w:spacing w:after="40"/>
      </w:pPr>
      <w:r>
        <w:t>performance: current metrics and deltas.</w:t>
      </w:r>
    </w:p>
    <w:p>
      <w:pPr>
        <w:pStyle w:val="ListBullet"/>
        <w:spacing w:after="40"/>
      </w:pPr>
      <w:r>
        <w:t>offers: active, paused, expired offers.</w:t>
      </w:r>
    </w:p>
    <w:p>
      <w:pPr>
        <w:pStyle w:val="ListBullet"/>
        <w:spacing w:after="40"/>
      </w:pPr>
      <w:r>
        <w:t>conversation_history: recent Vera turns and engagement tags.</w:t>
      </w:r>
    </w:p>
    <w:p>
      <w:pPr>
        <w:pStyle w:val="ListBullet"/>
        <w:spacing w:after="40"/>
      </w:pPr>
      <w:r>
        <w:t>customer_aggregate: counts, lapse/retention indicators.</w:t>
      </w:r>
    </w:p>
    <w:p>
      <w:pPr>
        <w:pStyle w:val="ListBullet"/>
        <w:spacing w:after="40"/>
      </w:pPr>
      <w:r>
        <w:t>signals: derived facts such as stale posts, low CTR versus peers, dormant status.</w:t>
      </w:r>
    </w:p>
    <w:p>
      <w:pPr>
        <w:pStyle w:val="Heading2"/>
        <w:spacing w:before="200" w:after="100"/>
      </w:pPr>
      <w:r>
        <w:t>4.3 TriggerContext</w:t>
      </w:r>
    </w:p>
    <w:p>
      <w:pPr>
        <w:pStyle w:val="ListBullet"/>
        <w:spacing w:after="40"/>
      </w:pPr>
      <w:r>
        <w:t>id, scope, kind, source, payload, urgency, suppression_key, expires_at.</w:t>
      </w:r>
    </w:p>
    <w:p>
      <w:pPr>
        <w:pStyle w:val="ListBullet"/>
        <w:spacing w:after="40"/>
      </w:pPr>
      <w:r>
        <w:t>External triggers may describe festivals, weather, local events, research releases, regulations, competitors or trend movement.</w:t>
      </w:r>
    </w:p>
    <w:p>
      <w:pPr>
        <w:pStyle w:val="ListBullet"/>
        <w:spacing w:after="40"/>
      </w:pPr>
      <w:r>
        <w:t>Internal triggers may describe performance changes, milestones, dormant conversations, customer lapse/recall, appointments, review themes or scheduled curiosity asks.</w:t>
      </w:r>
    </w:p>
    <w:p>
      <w:pPr>
        <w:pStyle w:val="ListBullet"/>
        <w:spacing w:after="40"/>
      </w:pPr>
      <w:r>
        <w:t>Every outbound message must have a trigger rationale. The trigger is the 'why now'.</w:t>
      </w:r>
    </w:p>
    <w:p>
      <w:pPr>
        <w:pStyle w:val="Heading2"/>
        <w:spacing w:before="200" w:after="100"/>
      </w:pPr>
      <w:r>
        <w:t>4.4 CustomerContext</w:t>
      </w:r>
    </w:p>
    <w:p>
      <w:pPr>
        <w:pStyle w:val="ListBullet"/>
        <w:spacing w:after="40"/>
      </w:pPr>
      <w:r>
        <w:t>Only required for customer-facing messages.</w:t>
      </w:r>
    </w:p>
    <w:p>
      <w:pPr>
        <w:pStyle w:val="ListBullet"/>
        <w:spacing w:after="40"/>
      </w:pPr>
      <w:r>
        <w:t>identity, relationship/history, state, preferences and consent.</w:t>
      </w:r>
    </w:p>
    <w:p>
      <w:pPr>
        <w:pStyle w:val="ListBullet"/>
        <w:spacing w:after="40"/>
      </w:pPr>
      <w:r>
        <w:t>Customer-facing sends use send_as='merchant_on_behalf'.</w:t>
      </w:r>
    </w:p>
    <w:p>
      <w:pPr>
        <w:pStyle w:val="ListBullet"/>
        <w:spacing w:after="40"/>
      </w:pPr>
      <w:r>
        <w:t>Customer messaging must honor the customer's consent scope and language preference.</w:t>
      </w:r>
    </w:p>
    <w:p>
      <w:pPr>
        <w:pStyle w:val="Heading1"/>
        <w:spacing w:before="200" w:after="100"/>
      </w:pPr>
      <w:r>
        <w:t>5. Core composition contract</w:t>
      </w:r>
    </w:p>
    <w:p>
      <w:pPr>
        <w:spacing w:after="120"/>
        <w:ind w:left="432" w:right="432"/>
      </w:pPr>
      <w:r>
        <w:rPr>
          <w:rFonts w:ascii="Consolas" w:hAnsi="Consolas"/>
          <w:sz w:val="17"/>
        </w:rPr>
        <w:t>def compose(category, merchant, trigger, customer=None):</w:t>
        <w:br/>
        <w:t xml:space="preserve">    return {</w:t>
        <w:br/>
        <w:t xml:space="preserve">        "body": "...",</w:t>
        <w:br/>
        <w:t xml:space="preserve">        "cta": "binary_yes_stop | open_ended | none",</w:t>
        <w:br/>
        <w:t xml:space="preserve">        "send_as": "vera | merchant_on_behalf",</w:t>
        <w:br/>
        <w:t xml:space="preserve">        "suppression_key": "...",</w:t>
        <w:br/>
        <w:t xml:space="preserve">        "rationale": "..."</w:t>
        <w:br/>
        <w:t xml:space="preserve">    }</w:t>
      </w:r>
    </w:p>
    <w:p>
      <w:pPr>
        <w:pStyle w:val="Heading1"/>
        <w:spacing w:before="200" w:after="100"/>
      </w:pPr>
      <w:r>
        <w:t>6. Hard behavioral constraints</w:t>
      </w:r>
    </w:p>
    <w:p>
      <w:pPr>
        <w:spacing w:after="40"/>
        <w:ind w:left="0"/>
      </w:pPr>
      <w:r>
        <w:t>1. First outbound in a new WhatsApp 24-hour session must use a pre-approved template structure. The challenge will not actually invoke Meta's WhatsApp API.</w:t>
      </w:r>
    </w:p>
    <w:p>
      <w:pPr>
        <w:spacing w:after="40"/>
        <w:ind w:left="0"/>
      </w:pPr>
      <w:r>
        <w:t>2. Keep message bodies concise and readable. There is no hard body-length cap, but verbosity is a quality risk.</w:t>
      </w:r>
    </w:p>
    <w:p>
      <w:pPr>
        <w:spacing w:after="40"/>
        <w:ind w:left="0"/>
      </w:pPr>
      <w:r>
        <w:t>3. Use one primary CTA. Action triggers generally favor a single binary commitment; pure-information triggers may have no CTA.</w:t>
      </w:r>
    </w:p>
    <w:p>
      <w:pPr>
        <w:spacing w:after="40"/>
        <w:ind w:left="0"/>
      </w:pPr>
      <w:r>
        <w:t>4. Use URLs only when they provide clear value.</w:t>
      </w:r>
    </w:p>
    <w:p>
      <w:pPr>
        <w:spacing w:after="40"/>
        <w:ind w:left="0"/>
      </w:pPr>
      <w:r>
        <w:t>5. Prefer specific, verifiable facts over generic promotional claims.</w:t>
      </w:r>
    </w:p>
    <w:p>
      <w:pPr>
        <w:spacing w:after="40"/>
        <w:ind w:left="0"/>
      </w:pPr>
      <w:r>
        <w:t>6. Match the category voice and vocabulary.</w:t>
      </w:r>
    </w:p>
    <w:p>
      <w:pPr>
        <w:spacing w:after="40"/>
        <w:ind w:left="0"/>
      </w:pPr>
      <w:r>
        <w:t>7. Hindi-English code-mix is allowed and should follow the merchant/customer language signal.</w:t>
      </w:r>
    </w:p>
    <w:p>
      <w:pPr>
        <w:spacing w:after="40"/>
        <w:ind w:left="0"/>
      </w:pPr>
      <w:r>
        <w:t>8. Never fabricate facts, offers, citations, competitors, benchmarks, customer counts, dates, or availability.</w:t>
      </w:r>
    </w:p>
    <w:p>
      <w:pPr>
        <w:pStyle w:val="Heading1"/>
        <w:spacing w:before="200" w:after="100"/>
      </w:pPr>
      <w:r>
        <w:t>7. Engagement quality model</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3408"/>
            <w:vAlign w:val="center"/>
            <w:shd w:fill="D9EAF7"/>
          </w:tcPr>
          <w:p>
            <w:r/>
            <w:r>
              <w:rPr>
                <w:b/>
                <w:sz w:val="18"/>
              </w:rPr>
              <w:t>Dimension</w:t>
            </w:r>
          </w:p>
        </w:tc>
        <w:tc>
          <w:tcPr>
            <w:tcW w:type="dxa" w:w="3408"/>
            <w:vAlign w:val="center"/>
            <w:shd w:fill="D9EAF7"/>
          </w:tcPr>
          <w:p>
            <w:r/>
            <w:r>
              <w:rPr>
                <w:b/>
                <w:sz w:val="18"/>
              </w:rPr>
              <w:t>What high score looks like</w:t>
            </w:r>
          </w:p>
        </w:tc>
        <w:tc>
          <w:tcPr>
            <w:tcW w:type="dxa" w:w="3408"/>
            <w:vAlign w:val="center"/>
            <w:shd w:fill="D9EAF7"/>
          </w:tcPr>
          <w:p>
            <w:r/>
            <w:r>
              <w:rPr>
                <w:b/>
                <w:sz w:val="18"/>
              </w:rPr>
              <w:t>Implementation control</w:t>
            </w:r>
          </w:p>
        </w:tc>
      </w:tr>
      <w:tr>
        <w:trPr>
          <w:cantSplit/>
        </w:trPr>
        <w:tc>
          <w:tcPr>
            <w:tcW w:type="dxa" w:w="3408"/>
            <w:vAlign w:val="center"/>
          </w:tcPr>
          <w:p>
            <w:r/>
            <w:r>
              <w:rPr>
                <w:b w:val="0"/>
                <w:sz w:val="18"/>
              </w:rPr>
              <w:t>Decision quality</w:t>
            </w:r>
          </w:p>
        </w:tc>
        <w:tc>
          <w:tcPr>
            <w:tcW w:type="dxa" w:w="3408"/>
            <w:vAlign w:val="center"/>
          </w:tcPr>
          <w:p>
            <w:r/>
            <w:r>
              <w:rPr>
                <w:b w:val="0"/>
                <w:sz w:val="18"/>
              </w:rPr>
              <w:t>Chooses the one signal that should drive the next message.</w:t>
            </w:r>
          </w:p>
        </w:tc>
        <w:tc>
          <w:tcPr>
            <w:tcW w:type="dxa" w:w="3408"/>
            <w:vAlign w:val="center"/>
          </w:tcPr>
          <w:p>
            <w:r/>
            <w:r>
              <w:rPr>
                <w:b w:val="0"/>
                <w:sz w:val="18"/>
              </w:rPr>
              <w:t>Trigger strategy/routing layer.</w:t>
            </w:r>
          </w:p>
        </w:tc>
      </w:tr>
      <w:tr>
        <w:trPr>
          <w:cantSplit/>
        </w:trPr>
        <w:tc>
          <w:tcPr>
            <w:tcW w:type="dxa" w:w="3408"/>
            <w:vAlign w:val="center"/>
          </w:tcPr>
          <w:p>
            <w:r/>
            <w:r>
              <w:rPr>
                <w:b w:val="0"/>
                <w:sz w:val="18"/>
              </w:rPr>
              <w:t>Specificity</w:t>
            </w:r>
          </w:p>
        </w:tc>
        <w:tc>
          <w:tcPr>
            <w:tcW w:type="dxa" w:w="3408"/>
            <w:vAlign w:val="center"/>
          </w:tcPr>
          <w:p>
            <w:r/>
            <w:r>
              <w:rPr>
                <w:b w:val="0"/>
                <w:sz w:val="18"/>
              </w:rPr>
              <w:t>Uses real numbers, dates, offers, headlines, citations or local facts.</w:t>
            </w:r>
          </w:p>
        </w:tc>
        <w:tc>
          <w:tcPr>
            <w:tcW w:type="dxa" w:w="3408"/>
            <w:vAlign w:val="center"/>
          </w:tcPr>
          <w:p>
            <w:r/>
            <w:r>
              <w:rPr>
                <w:b w:val="0"/>
                <w:sz w:val="18"/>
              </w:rPr>
              <w:t>Context selector + fact whitelist.</w:t>
            </w:r>
          </w:p>
        </w:tc>
      </w:tr>
      <w:tr>
        <w:trPr>
          <w:cantSplit/>
        </w:trPr>
        <w:tc>
          <w:tcPr>
            <w:tcW w:type="dxa" w:w="3408"/>
            <w:vAlign w:val="center"/>
          </w:tcPr>
          <w:p>
            <w:r/>
            <w:r>
              <w:rPr>
                <w:b w:val="0"/>
                <w:sz w:val="18"/>
              </w:rPr>
              <w:t>Category fit</w:t>
            </w:r>
          </w:p>
        </w:tc>
        <w:tc>
          <w:tcPr>
            <w:tcW w:type="dxa" w:w="3408"/>
            <w:vAlign w:val="center"/>
          </w:tcPr>
          <w:p>
            <w:r/>
            <w:r>
              <w:rPr>
                <w:b w:val="0"/>
                <w:sz w:val="18"/>
              </w:rPr>
              <w:t>Sounds like a domain-aware peer/colleague.</w:t>
            </w:r>
          </w:p>
        </w:tc>
        <w:tc>
          <w:tcPr>
            <w:tcW w:type="dxa" w:w="3408"/>
            <w:vAlign w:val="center"/>
          </w:tcPr>
          <w:p>
            <w:r/>
            <w:r>
              <w:rPr>
                <w:b w:val="0"/>
                <w:sz w:val="18"/>
              </w:rPr>
              <w:t>Category voice pack + trigger-specific prompt.</w:t>
            </w:r>
          </w:p>
        </w:tc>
      </w:tr>
      <w:tr>
        <w:trPr>
          <w:cantSplit/>
        </w:trPr>
        <w:tc>
          <w:tcPr>
            <w:tcW w:type="dxa" w:w="3408"/>
            <w:vAlign w:val="center"/>
          </w:tcPr>
          <w:p>
            <w:r/>
            <w:r>
              <w:rPr>
                <w:b w:val="0"/>
                <w:sz w:val="18"/>
              </w:rPr>
              <w:t>Merchant fit</w:t>
            </w:r>
          </w:p>
        </w:tc>
        <w:tc>
          <w:tcPr>
            <w:tcW w:type="dxa" w:w="3408"/>
            <w:vAlign w:val="center"/>
          </w:tcPr>
          <w:p>
            <w:r/>
            <w:r>
              <w:rPr>
                <w:b w:val="0"/>
                <w:sz w:val="18"/>
              </w:rPr>
              <w:t>References actual merchant metrics, offers, language and prior behavior.</w:t>
            </w:r>
          </w:p>
        </w:tc>
        <w:tc>
          <w:tcPr>
            <w:tcW w:type="dxa" w:w="3408"/>
            <w:vAlign w:val="center"/>
          </w:tcPr>
          <w:p>
            <w:r/>
            <w:r>
              <w:rPr>
                <w:b w:val="0"/>
                <w:sz w:val="18"/>
              </w:rPr>
              <w:t>Merchant context projection.</w:t>
            </w:r>
          </w:p>
        </w:tc>
      </w:tr>
      <w:tr>
        <w:trPr>
          <w:cantSplit/>
        </w:trPr>
        <w:tc>
          <w:tcPr>
            <w:tcW w:type="dxa" w:w="3408"/>
            <w:vAlign w:val="center"/>
          </w:tcPr>
          <w:p>
            <w:r/>
            <w:r>
              <w:rPr>
                <w:b w:val="0"/>
                <w:sz w:val="18"/>
              </w:rPr>
              <w:t>Trigger relevance</w:t>
            </w:r>
          </w:p>
        </w:tc>
        <w:tc>
          <w:tcPr>
            <w:tcW w:type="dxa" w:w="3408"/>
            <w:vAlign w:val="center"/>
          </w:tcPr>
          <w:p>
            <w:r/>
            <w:r>
              <w:rPr>
                <w:b w:val="0"/>
                <w:sz w:val="18"/>
              </w:rPr>
              <w:t>Clearly communicates why this message is happening now.</w:t>
            </w:r>
          </w:p>
        </w:tc>
        <w:tc>
          <w:tcPr>
            <w:tcW w:type="dxa" w:w="3408"/>
            <w:vAlign w:val="center"/>
          </w:tcPr>
          <w:p>
            <w:r/>
            <w:r>
              <w:rPr>
                <w:b w:val="0"/>
                <w:sz w:val="18"/>
              </w:rPr>
              <w:t>Trigger summary required in strategy.</w:t>
            </w:r>
          </w:p>
        </w:tc>
      </w:tr>
      <w:tr>
        <w:trPr>
          <w:cantSplit/>
        </w:trPr>
        <w:tc>
          <w:tcPr>
            <w:tcW w:type="dxa" w:w="3408"/>
            <w:vAlign w:val="center"/>
          </w:tcPr>
          <w:p>
            <w:r/>
            <w:r>
              <w:rPr>
                <w:b w:val="0"/>
                <w:sz w:val="18"/>
              </w:rPr>
              <w:t>Engagement compulsion</w:t>
            </w:r>
          </w:p>
        </w:tc>
        <w:tc>
          <w:tcPr>
            <w:tcW w:type="dxa" w:w="3408"/>
            <w:vAlign w:val="center"/>
          </w:tcPr>
          <w:p>
            <w:r/>
            <w:r>
              <w:rPr>
                <w:b w:val="0"/>
                <w:sz w:val="18"/>
              </w:rPr>
              <w:t>Creates a low-effort reason to reply now.</w:t>
            </w:r>
          </w:p>
        </w:tc>
        <w:tc>
          <w:tcPr>
            <w:tcW w:type="dxa" w:w="3408"/>
            <w:vAlign w:val="center"/>
          </w:tcPr>
          <w:p>
            <w:r/>
            <w:r>
              <w:rPr>
                <w:b w:val="0"/>
                <w:sz w:val="18"/>
              </w:rPr>
              <w:t>One CTA + curiosity/proof/effort externalization.</w:t>
            </w:r>
          </w:p>
        </w:tc>
      </w:tr>
    </w:tbl>
    <w:p/>
    <w:p>
      <w:r>
        <w:t>The core judge rubric scores five dimensions from 0–10: Specificity, Category fit, Merchant fit, Trigger relevance, and Engagement compulsion. Decision quality is also emphasized in the challenge and should be implemented as a first-class routing objective.</w:t>
      </w:r>
    </w:p>
    <w:p>
      <w:pPr>
        <w:pStyle w:val="Heading1"/>
        <w:spacing w:before="200" w:after="100"/>
      </w:pPr>
      <w:r>
        <w:t>8. High-value engagement levers</w:t>
      </w:r>
    </w:p>
    <w:p>
      <w:pPr>
        <w:pStyle w:val="ListBullet"/>
        <w:spacing w:after="40"/>
      </w:pPr>
      <w:r>
        <w:t>Specificity/verifiability: concrete number, date, headline, source citation.</w:t>
      </w:r>
    </w:p>
    <w:p>
      <w:pPr>
        <w:pStyle w:val="ListBullet"/>
        <w:spacing w:after="40"/>
      </w:pPr>
      <w:r>
        <w:t>Loss aversion: a real deadline, window or measurable missed opportunity when supported by context.</w:t>
      </w:r>
    </w:p>
    <w:p>
      <w:pPr>
        <w:pStyle w:val="ListBullet"/>
        <w:spacing w:after="40"/>
      </w:pPr>
      <w:r>
        <w:t>Social proof: peer behavior or category benchmark only when the data actually contains it.</w:t>
      </w:r>
    </w:p>
    <w:p>
      <w:pPr>
        <w:pStyle w:val="ListBullet"/>
        <w:spacing w:after="40"/>
      </w:pPr>
      <w:r>
        <w:t>Effort externalization: draft the artifact so the merchant can say go instead of doing the work.</w:t>
      </w:r>
    </w:p>
    <w:p>
      <w:pPr>
        <w:pStyle w:val="ListBullet"/>
        <w:spacing w:after="40"/>
      </w:pPr>
      <w:r>
        <w:t>Curiosity: offer the next useful fact/list/insight when it is truly grounded.</w:t>
      </w:r>
    </w:p>
    <w:p>
      <w:pPr>
        <w:pStyle w:val="ListBullet"/>
        <w:spacing w:after="40"/>
      </w:pPr>
      <w:r>
        <w:t>Reciprocity: show the useful observation Vera found in the merchant data.</w:t>
      </w:r>
    </w:p>
    <w:p>
      <w:pPr>
        <w:pStyle w:val="ListBullet"/>
        <w:spacing w:after="40"/>
      </w:pPr>
      <w:r>
        <w:t>Merchant question: ask for information when it materially improves the next step.</w:t>
      </w:r>
    </w:p>
    <w:p>
      <w:pPr>
        <w:pStyle w:val="ListBullet"/>
        <w:spacing w:after="40"/>
      </w:pPr>
      <w:r>
        <w:t>Single binary commitment: reduce reply friction.</w:t>
      </w:r>
    </w:p>
    <w:p>
      <w:pPr>
        <w:pStyle w:val="Heading1"/>
        <w:spacing w:before="200" w:after="100"/>
      </w:pPr>
      <w:r>
        <w:t>9. Anti-patterns</w:t>
      </w:r>
    </w:p>
    <w:p>
      <w:pPr>
        <w:pStyle w:val="ListBullet"/>
        <w:spacing w:after="40"/>
      </w:pPr>
      <w:r>
        <w:t>Generic 'increase sales' or flat-percentage discount copy when a specific service + price is available.</w:t>
      </w:r>
    </w:p>
    <w:p>
      <w:pPr>
        <w:pStyle w:val="ListBullet"/>
        <w:spacing w:after="40"/>
      </w:pPr>
      <w:r>
        <w:t>Multiple CTAs in one message.</w:t>
      </w:r>
    </w:p>
    <w:p>
      <w:pPr>
        <w:pStyle w:val="ListBullet"/>
        <w:spacing w:after="40"/>
      </w:pPr>
      <w:r>
        <w:t>Buried or unclear CTA.</w:t>
      </w:r>
    </w:p>
    <w:p>
      <w:pPr>
        <w:pStyle w:val="ListBullet"/>
        <w:spacing w:after="40"/>
      </w:pPr>
      <w:r>
        <w:t>Overly promotional tone in professional/clinical categories.</w:t>
      </w:r>
    </w:p>
    <w:p>
      <w:pPr>
        <w:pStyle w:val="ListBullet"/>
        <w:spacing w:after="40"/>
      </w:pPr>
      <w:r>
        <w:t>Hallucinated research, competitor names or statistics.</w:t>
      </w:r>
    </w:p>
    <w:p>
      <w:pPr>
        <w:pStyle w:val="ListBullet"/>
        <w:spacing w:after="40"/>
      </w:pPr>
      <w:r>
        <w:t>Long introductory filler.</w:t>
      </w:r>
    </w:p>
    <w:p>
      <w:pPr>
        <w:pStyle w:val="ListBullet"/>
        <w:spacing w:after="40"/>
      </w:pPr>
      <w:r>
        <w:t>Re-introducing Vera after the session is already established.</w:t>
      </w:r>
    </w:p>
    <w:p>
      <w:pPr>
        <w:pStyle w:val="ListBullet"/>
        <w:spacing w:after="40"/>
      </w:pPr>
      <w:r>
        <w:t>Ignoring language preference.</w:t>
      </w:r>
    </w:p>
    <w:p>
      <w:pPr>
        <w:pStyle w:val="ListBullet"/>
        <w:spacing w:after="40"/>
      </w:pPr>
      <w:r>
        <w:t>Sending the exact same message again in one conversation.</w:t>
      </w:r>
    </w:p>
    <w:p>
      <w:pPr>
        <w:pStyle w:val="ListBullet"/>
        <w:spacing w:after="40"/>
      </w:pPr>
      <w:r>
        <w:t>Continuing to qualify after the merchant has clearly accepted the proposed action.</w:t>
      </w:r>
    </w:p>
    <w:p>
      <w:pPr>
        <w:pStyle w:val="Heading1"/>
        <w:spacing w:before="200" w:after="100"/>
      </w:pPr>
      <w:r>
        <w:t>10. Required API</w:t>
      </w:r>
    </w:p>
    <w:p>
      <w:pPr>
        <w:pStyle w:val="Heading2"/>
        <w:spacing w:before="200" w:after="100"/>
      </w:pPr>
      <w:r>
        <w:t>10.1 GET /v1/healthz</w:t>
      </w:r>
    </w:p>
    <w:p>
      <w:pPr>
        <w:spacing w:after="120"/>
        <w:ind w:left="432" w:right="432"/>
      </w:pPr>
      <w:r>
        <w:rPr>
          <w:rFonts w:ascii="Consolas" w:hAnsi="Consolas"/>
          <w:sz w:val="17"/>
        </w:rPr>
        <w:t>{</w:t>
        <w:br/>
        <w:t xml:space="preserve">  "status": "ok",</w:t>
        <w:br/>
        <w:t xml:space="preserve">  "uptime_seconds": 3600,</w:t>
        <w:br/>
        <w:t xml:space="preserve">  "contexts_loaded": {</w:t>
        <w:br/>
        <w:t xml:space="preserve">    "category": 5,</w:t>
        <w:br/>
        <w:t xml:space="preserve">    "merchant": 50,</w:t>
        <w:br/>
        <w:t xml:space="preserve">    "customer": 200,</w:t>
        <w:br/>
        <w:t xml:space="preserve">    "trigger": 100</w:t>
        <w:br/>
        <w:t xml:space="preserve">  }</w:t>
        <w:br/>
        <w:t>}</w:t>
      </w:r>
    </w:p>
    <w:p>
      <w:r>
        <w:t>Three consecutive health failures cause disqualification for the test slot.</w:t>
      </w:r>
    </w:p>
    <w:p>
      <w:pPr>
        <w:pStyle w:val="Heading2"/>
        <w:spacing w:before="200" w:after="100"/>
      </w:pPr>
      <w:r>
        <w:t>10.2 GET /v1/metadata</w:t>
      </w:r>
    </w:p>
    <w:p>
      <w:pPr>
        <w:spacing w:after="120"/>
        <w:ind w:left="432" w:right="432"/>
      </w:pPr>
      <w:r>
        <w:rPr>
          <w:rFonts w:ascii="Consolas" w:hAnsi="Consolas"/>
          <w:sz w:val="17"/>
        </w:rPr>
        <w:t>{</w:t>
        <w:br/>
        <w:t xml:space="preserve">  "team_name": "...",</w:t>
        <w:br/>
        <w:t xml:space="preserve">  "team_members": ["..."],</w:t>
        <w:br/>
        <w:t xml:space="preserve">  "model": "...",</w:t>
        <w:br/>
        <w:t xml:space="preserve">  "approach": "...",</w:t>
        <w:br/>
        <w:t xml:space="preserve">  "contact_email": "...",</w:t>
        <w:br/>
        <w:t xml:space="preserve">  "version": "1.0.0",</w:t>
        <w:br/>
        <w:t xml:space="preserve">  "submitted_at": "..."</w:t>
        <w:br/>
        <w:t>}</w:t>
      </w:r>
    </w:p>
    <w:p>
      <w:pPr>
        <w:pStyle w:val="Heading2"/>
        <w:spacing w:before="200" w:after="100"/>
      </w:pPr>
      <w:r>
        <w:t>10.3 POST /v1/context</w:t>
      </w:r>
    </w:p>
    <w:p>
      <w:pPr>
        <w:spacing w:after="120"/>
        <w:ind w:left="432" w:right="432"/>
      </w:pPr>
      <w:r>
        <w:rPr>
          <w:rFonts w:ascii="Consolas" w:hAnsi="Consolas"/>
          <w:sz w:val="17"/>
        </w:rPr>
        <w:t>{</w:t>
        <w:br/>
        <w:t xml:space="preserve">  "scope": "category | merchant | customer | trigger",</w:t>
        <w:br/>
        <w:t xml:space="preserve">  "context_id": "...",</w:t>
        <w:br/>
        <w:t xml:space="preserve">  "version": 3,</w:t>
        <w:br/>
        <w:t xml:space="preserve">  "payload": {...},</w:t>
        <w:br/>
        <w:t xml:space="preserve">  "delivered_at": "..."</w:t>
        <w:br/>
        <w:t>}</w:t>
      </w:r>
    </w:p>
    <w:p>
      <w:r>
        <w:t>Store by (scope, context_id). Same version is a no-op; higher version atomically replaces the prior payload; lower version returns a stale_version conflict. Persist state for the duration of the test.</w:t>
      </w:r>
    </w:p>
    <w:p>
      <w:pPr>
        <w:pStyle w:val="Heading2"/>
        <w:spacing w:before="200" w:after="100"/>
      </w:pPr>
      <w:r>
        <w:t>10.4 POST /v1/tick</w:t>
      </w:r>
    </w:p>
    <w:p>
      <w:pPr>
        <w:spacing w:after="120"/>
        <w:ind w:left="432" w:right="432"/>
      </w:pPr>
      <w:r>
        <w:rPr>
          <w:rFonts w:ascii="Consolas" w:hAnsi="Consolas"/>
          <w:sz w:val="17"/>
        </w:rPr>
        <w:t>{</w:t>
        <w:br/>
        <w:t xml:space="preserve">  "now": "2026-04-26T10:30:00Z",</w:t>
        <w:br/>
        <w:t xml:space="preserve">  "available_triggers": ["trg_..."]</w:t>
        <w:br/>
        <w:t>}</w:t>
      </w:r>
    </w:p>
    <w:p>
      <w:r>
        <w:t>The trigger list is a hint. The bot may use any subset or none. The action list may be empty. Do not start a new conversation by reusing an existing conversation_id.</w:t>
      </w:r>
    </w:p>
    <w:p>
      <w:pPr>
        <w:spacing w:after="120"/>
        <w:ind w:left="432" w:right="432"/>
      </w:pPr>
      <w:r>
        <w:rPr>
          <w:rFonts w:ascii="Consolas" w:hAnsi="Consolas"/>
          <w:sz w:val="17"/>
        </w:rPr>
        <w:t>{</w:t>
        <w:br/>
        <w:t xml:space="preserve">  "actions": [</w:t>
        <w:br/>
        <w:t xml:space="preserve">    {</w:t>
        <w:br/>
        <w:t xml:space="preserve">      "conversation_id": "conv_...",</w:t>
        <w:br/>
        <w:t xml:space="preserve">      "merchant_id": "m_...",</w:t>
        <w:br/>
        <w:t xml:space="preserve">      "customer_id": null,</w:t>
        <w:br/>
        <w:t xml:space="preserve">      "send_as": "vera",</w:t>
        <w:br/>
        <w:t xml:space="preserve">      "trigger_id": "trg_...",</w:t>
        <w:br/>
        <w:t xml:space="preserve">      "template_name": "vera_...",</w:t>
        <w:br/>
        <w:t xml:space="preserve">      "template_params": ["..."],</w:t>
        <w:br/>
        <w:t xml:space="preserve">      "body": "...",</w:t>
        <w:br/>
        <w:t xml:space="preserve">      "cta": "open_ended",</w:t>
        <w:br/>
        <w:t xml:space="preserve">      "suppression_key": "...",</w:t>
        <w:br/>
        <w:t xml:space="preserve">      "rationale": "..."</w:t>
        <w:br/>
        <w:t xml:space="preserve">    }</w:t>
        <w:br/>
        <w:t xml:space="preserve">  ]</w:t>
        <w:br/>
        <w:t>}</w:t>
      </w:r>
    </w:p>
    <w:p>
      <w:pPr>
        <w:pStyle w:val="Heading2"/>
        <w:spacing w:before="200" w:after="100"/>
      </w:pPr>
      <w:r>
        <w:t>10.5 POST /v1/reply</w:t>
      </w:r>
    </w:p>
    <w:p>
      <w:pPr>
        <w:spacing w:after="120"/>
        <w:ind w:left="432" w:right="432"/>
      </w:pPr>
      <w:r>
        <w:rPr>
          <w:rFonts w:ascii="Consolas" w:hAnsi="Consolas"/>
          <w:sz w:val="17"/>
        </w:rPr>
        <w:t>{</w:t>
        <w:br/>
        <w:t xml:space="preserve">  "conversation_id": "conv_...",</w:t>
        <w:br/>
        <w:t xml:space="preserve">  "merchant_id": "m_...",</w:t>
        <w:br/>
        <w:t xml:space="preserve">  "customer_id": null,</w:t>
        <w:br/>
        <w:t xml:space="preserve">  "from_role": "merchant",</w:t>
        <w:br/>
        <w:t xml:space="preserve">  "message": "Yes, send me the abstract",</w:t>
        <w:br/>
        <w:t xml:space="preserve">  "received_at": "...",</w:t>
        <w:br/>
        <w:t xml:space="preserve">  "turn_number": 2</w:t>
        <w:br/>
        <w:t>}</w:t>
      </w:r>
    </w:p>
    <w:p>
      <w:r>
        <w:t>Valid next actions are send, wait, or end.</w:t>
      </w:r>
    </w:p>
    <w:p>
      <w:pPr>
        <w:spacing w:after="120"/>
        <w:ind w:left="432" w:right="432"/>
      </w:pPr>
      <w:r>
        <w:rPr>
          <w:rFonts w:ascii="Consolas" w:hAnsi="Consolas"/>
          <w:sz w:val="17"/>
        </w:rPr>
        <w:t>{ "action": "send", "body": "...", "cta": "open_ended", "rationale": "..." }</w:t>
        <w:br/>
        <w:br/>
        <w:t>{ "action": "wait", "wait_seconds": 1800, "rationale": "..." }</w:t>
        <w:br/>
        <w:br/>
        <w:t>{ "action": "end", "rationale": "..." }</w:t>
      </w:r>
    </w:p>
    <w:p>
      <w:pPr>
        <w:pStyle w:val="Heading1"/>
        <w:spacing w:before="200" w:after="100"/>
      </w:pPr>
      <w:r>
        <w:t>11. Internal architecture</w:t>
      </w:r>
    </w:p>
    <w:p>
      <w:pPr>
        <w:spacing w:after="120"/>
        <w:ind w:left="432" w:right="432"/>
      </w:pPr>
      <w:r>
        <w:rPr>
          <w:rFonts w:ascii="Consolas" w:hAnsi="Consolas"/>
          <w:sz w:val="17"/>
        </w:rPr>
        <w:t xml:space="preserve">                    Magicpin Judge</w:t>
        <w:br/>
        <w:t xml:space="preserve">                           |</w:t>
        <w:br/>
        <w:t xml:space="preserve">                       HTTP / JSON</w:t>
        <w:br/>
        <w:t xml:space="preserve">                           |</w:t>
        <w:br/>
        <w:t xml:space="preserve">                     +-----v------+</w:t>
        <w:br/>
        <w:t xml:space="preserve">                     |   FastAPI  |</w:t>
        <w:br/>
        <w:t xml:space="preserve">                     +-----+------+</w:t>
        <w:br/>
        <w:t xml:space="preserve">                           |</w:t>
        <w:br/>
        <w:t xml:space="preserve">       +-------------------+-------------------+</w:t>
        <w:br/>
        <w:t xml:space="preserve">       |                   |                   |</w:t>
        <w:br/>
        <w:t xml:space="preserve"> +-----v------+      +-----v------+      +-----v------+</w:t>
        <w:br/>
        <w:t xml:space="preserve"> | Context    |      | Conversation|      | Trigger    |</w:t>
        <w:br/>
        <w:t xml:space="preserve"> | Store      |      | State       |      | Router     |</w:t>
        <w:br/>
        <w:t xml:space="preserve"> +-----+------+      +-----+------+      +-----+------+</w:t>
        <w:br/>
        <w:t xml:space="preserve">       |                   |                   |</w:t>
        <w:br/>
        <w:t xml:space="preserve">       +-------------------+-------------------+</w:t>
        <w:br/>
        <w:t xml:space="preserve">                           |</w:t>
        <w:br/>
        <w:t xml:space="preserve">                    +------v-------+</w:t>
        <w:br/>
        <w:t xml:space="preserve">                    | Context      |</w:t>
        <w:br/>
        <w:t xml:space="preserve">                    | Selector     |</w:t>
        <w:br/>
        <w:t xml:space="preserve">                    +------+-------+</w:t>
        <w:br/>
        <w:t xml:space="preserve">                           |</w:t>
        <w:br/>
        <w:t xml:space="preserve">                    +------v-------+</w:t>
        <w:br/>
        <w:t xml:space="preserve">                    | Strategy /   |</w:t>
        <w:br/>
        <w:t xml:space="preserve">                    | Prompt       |</w:t>
        <w:br/>
        <w:t xml:space="preserve">                    | Builder      |</w:t>
        <w:br/>
        <w:t xml:space="preserve">                    +------+-------+</w:t>
        <w:br/>
        <w:t xml:space="preserve">                           |</w:t>
        <w:br/>
        <w:t xml:space="preserve">                    +------v-------+</w:t>
        <w:br/>
        <w:t xml:space="preserve">                    | LLM Provider |</w:t>
        <w:br/>
        <w:t xml:space="preserve">                    +------+-------+</w:t>
        <w:br/>
        <w:t xml:space="preserve">                           |</w:t>
        <w:br/>
        <w:t xml:space="preserve">                    +------v-------+</w:t>
        <w:br/>
        <w:t xml:space="preserve">                    | Validator /  |</w:t>
        <w:br/>
        <w:t xml:space="preserve">                    | Safety Rules |</w:t>
        <w:br/>
        <w:t xml:space="preserve">                    +------+-------+</w:t>
        <w:br/>
        <w:t xml:space="preserve">                           |</w:t>
        <w:br/>
        <w:t xml:space="preserve">                       Action JSON</w:t>
      </w:r>
    </w:p>
    <w:p>
      <w:pPr>
        <w:pStyle w:val="Heading1"/>
        <w:spacing w:before="200" w:after="100"/>
      </w:pPr>
      <w:r>
        <w:t>12. Technology strategy</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3408"/>
            <w:vAlign w:val="center"/>
            <w:shd w:fill="D9EAF7"/>
          </w:tcPr>
          <w:p>
            <w:r/>
            <w:r>
              <w:rPr>
                <w:b/>
                <w:sz w:val="18"/>
              </w:rPr>
              <w:t>Layer</w:t>
            </w:r>
          </w:p>
        </w:tc>
        <w:tc>
          <w:tcPr>
            <w:tcW w:type="dxa" w:w="3408"/>
            <w:vAlign w:val="center"/>
            <w:shd w:fill="D9EAF7"/>
          </w:tcPr>
          <w:p>
            <w:r/>
            <w:r>
              <w:rPr>
                <w:b/>
                <w:sz w:val="18"/>
              </w:rPr>
              <w:t>Recommended choice</w:t>
            </w:r>
          </w:p>
        </w:tc>
        <w:tc>
          <w:tcPr>
            <w:tcW w:type="dxa" w:w="3408"/>
            <w:vAlign w:val="center"/>
            <w:shd w:fill="D9EAF7"/>
          </w:tcPr>
          <w:p>
            <w:r/>
            <w:r>
              <w:rPr>
                <w:b/>
                <w:sz w:val="18"/>
              </w:rPr>
              <w:t>Why</w:t>
            </w:r>
          </w:p>
        </w:tc>
      </w:tr>
      <w:tr>
        <w:trPr>
          <w:cantSplit/>
        </w:trPr>
        <w:tc>
          <w:tcPr>
            <w:tcW w:type="dxa" w:w="3408"/>
            <w:vAlign w:val="center"/>
          </w:tcPr>
          <w:p>
            <w:r/>
            <w:r>
              <w:rPr>
                <w:b w:val="0"/>
                <w:sz w:val="18"/>
              </w:rPr>
              <w:t>API</w:t>
            </w:r>
          </w:p>
        </w:tc>
        <w:tc>
          <w:tcPr>
            <w:tcW w:type="dxa" w:w="3408"/>
            <w:vAlign w:val="center"/>
          </w:tcPr>
          <w:p>
            <w:r/>
            <w:r>
              <w:rPr>
                <w:b w:val="0"/>
                <w:sz w:val="18"/>
              </w:rPr>
              <w:t>Python + FastAPI + Pydantic</w:t>
            </w:r>
          </w:p>
        </w:tc>
        <w:tc>
          <w:tcPr>
            <w:tcW w:type="dxa" w:w="3408"/>
            <w:vAlign w:val="center"/>
          </w:tcPr>
          <w:p>
            <w:r/>
            <w:r>
              <w:rPr>
                <w:b w:val="0"/>
                <w:sz w:val="18"/>
              </w:rPr>
              <w:t>Fast to implement, explicit schemas, async support.</w:t>
            </w:r>
          </w:p>
        </w:tc>
      </w:tr>
      <w:tr>
        <w:trPr>
          <w:cantSplit/>
        </w:trPr>
        <w:tc>
          <w:tcPr>
            <w:tcW w:type="dxa" w:w="3408"/>
            <w:vAlign w:val="center"/>
          </w:tcPr>
          <w:p>
            <w:r/>
            <w:r>
              <w:rPr>
                <w:b w:val="0"/>
                <w:sz w:val="18"/>
              </w:rPr>
              <w:t>State</w:t>
            </w:r>
          </w:p>
        </w:tc>
        <w:tc>
          <w:tcPr>
            <w:tcW w:type="dxa" w:w="3408"/>
            <w:vAlign w:val="center"/>
          </w:tcPr>
          <w:p>
            <w:r/>
            <w:r>
              <w:rPr>
                <w:b w:val="0"/>
                <w:sz w:val="18"/>
              </w:rPr>
              <w:t>In-memory for challenge; SQLite optional</w:t>
            </w:r>
          </w:p>
        </w:tc>
        <w:tc>
          <w:tcPr>
            <w:tcW w:type="dxa" w:w="3408"/>
            <w:vAlign w:val="center"/>
          </w:tcPr>
          <w:p>
            <w:r/>
            <w:r>
              <w:rPr>
                <w:b w:val="0"/>
                <w:sz w:val="18"/>
              </w:rPr>
              <w:t>The judge keeps the process alive; low complexity is valuable.</w:t>
            </w:r>
          </w:p>
        </w:tc>
      </w:tr>
      <w:tr>
        <w:trPr>
          <w:cantSplit/>
        </w:trPr>
        <w:tc>
          <w:tcPr>
            <w:tcW w:type="dxa" w:w="3408"/>
            <w:vAlign w:val="center"/>
          </w:tcPr>
          <w:p>
            <w:r/>
            <w:r>
              <w:rPr>
                <w:b w:val="0"/>
                <w:sz w:val="18"/>
              </w:rPr>
              <w:t>LLM</w:t>
            </w:r>
          </w:p>
        </w:tc>
        <w:tc>
          <w:tcPr>
            <w:tcW w:type="dxa" w:w="3408"/>
            <w:vAlign w:val="center"/>
          </w:tcPr>
          <w:p>
            <w:r/>
            <w:r>
              <w:rPr>
                <w:b w:val="0"/>
                <w:sz w:val="18"/>
              </w:rPr>
              <w:t>Gemini / GPT / Claude through a provider abstraction</w:t>
            </w:r>
          </w:p>
        </w:tc>
        <w:tc>
          <w:tcPr>
            <w:tcW w:type="dxa" w:w="3408"/>
            <w:vAlign w:val="center"/>
          </w:tcPr>
          <w:p>
            <w:r/>
            <w:r>
              <w:rPr>
                <w:b w:val="0"/>
                <w:sz w:val="18"/>
              </w:rPr>
              <w:t>Challenge is LLM-agnostic; abstraction enables fast provider swap.</w:t>
            </w:r>
          </w:p>
        </w:tc>
      </w:tr>
      <w:tr>
        <w:trPr>
          <w:cantSplit/>
        </w:trPr>
        <w:tc>
          <w:tcPr>
            <w:tcW w:type="dxa" w:w="3408"/>
            <w:vAlign w:val="center"/>
          </w:tcPr>
          <w:p>
            <w:r/>
            <w:r>
              <w:rPr>
                <w:b w:val="0"/>
                <w:sz w:val="18"/>
              </w:rPr>
              <w:t>Similarity</w:t>
            </w:r>
          </w:p>
        </w:tc>
        <w:tc>
          <w:tcPr>
            <w:tcW w:type="dxa" w:w="3408"/>
            <w:vAlign w:val="center"/>
          </w:tcPr>
          <w:p>
            <w:r/>
            <w:r>
              <w:rPr>
                <w:b w:val="0"/>
                <w:sz w:val="18"/>
              </w:rPr>
              <w:t>RapidFuzz or normalized exact matching</w:t>
            </w:r>
          </w:p>
        </w:tc>
        <w:tc>
          <w:tcPr>
            <w:tcW w:type="dxa" w:w="3408"/>
            <w:vAlign w:val="center"/>
          </w:tcPr>
          <w:p>
            <w:r/>
            <w:r>
              <w:rPr>
                <w:b w:val="0"/>
                <w:sz w:val="18"/>
              </w:rPr>
              <w:t>Useful for canned auto-reply/repetition detection.</w:t>
            </w:r>
          </w:p>
        </w:tc>
      </w:tr>
      <w:tr>
        <w:trPr>
          <w:cantSplit/>
        </w:trPr>
        <w:tc>
          <w:tcPr>
            <w:tcW w:type="dxa" w:w="3408"/>
            <w:vAlign w:val="center"/>
          </w:tcPr>
          <w:p>
            <w:r/>
            <w:r>
              <w:rPr>
                <w:b w:val="0"/>
                <w:sz w:val="18"/>
              </w:rPr>
              <w:t>Testing</w:t>
            </w:r>
          </w:p>
        </w:tc>
        <w:tc>
          <w:tcPr>
            <w:tcW w:type="dxa" w:w="3408"/>
            <w:vAlign w:val="center"/>
          </w:tcPr>
          <w:p>
            <w:r/>
            <w:r>
              <w:rPr>
                <w:b w:val="0"/>
                <w:sz w:val="18"/>
              </w:rPr>
              <w:t>pytest + judge_simulator.py</w:t>
            </w:r>
          </w:p>
        </w:tc>
        <w:tc>
          <w:tcPr>
            <w:tcW w:type="dxa" w:w="3408"/>
            <w:vAlign w:val="center"/>
          </w:tcPr>
          <w:p>
            <w:r/>
            <w:r>
              <w:rPr>
                <w:b w:val="0"/>
                <w:sz w:val="18"/>
              </w:rPr>
              <w:t>Contract and behavior regression coverage.</w:t>
            </w:r>
          </w:p>
        </w:tc>
      </w:tr>
      <w:tr>
        <w:trPr>
          <w:cantSplit/>
        </w:trPr>
        <w:tc>
          <w:tcPr>
            <w:tcW w:type="dxa" w:w="3408"/>
            <w:vAlign w:val="center"/>
          </w:tcPr>
          <w:p>
            <w:r/>
            <w:r>
              <w:rPr>
                <w:b w:val="0"/>
                <w:sz w:val="18"/>
              </w:rPr>
              <w:t>Deployment</w:t>
            </w:r>
          </w:p>
        </w:tc>
        <w:tc>
          <w:tcPr>
            <w:tcW w:type="dxa" w:w="3408"/>
            <w:vAlign w:val="center"/>
          </w:tcPr>
          <w:p>
            <w:r/>
            <w:r>
              <w:rPr>
                <w:b w:val="0"/>
                <w:sz w:val="18"/>
              </w:rPr>
              <w:t>Any public HTTP host or ngrok for local testing</w:t>
            </w:r>
          </w:p>
        </w:tc>
        <w:tc>
          <w:tcPr>
            <w:tcW w:type="dxa" w:w="3408"/>
            <w:vAlign w:val="center"/>
          </w:tcPr>
          <w:p>
            <w:r/>
            <w:r>
              <w:rPr>
                <w:b w:val="0"/>
                <w:sz w:val="18"/>
              </w:rPr>
              <w:t>The required submission is a public bot URL.</w:t>
            </w:r>
          </w:p>
        </w:tc>
      </w:tr>
    </w:tbl>
    <w:p/>
    <w:p>
      <w:r>
        <w:t>Do not add a vector database, fine-tuning pipeline, WhatsApp Business API integration, React frontend, Kubernetes stack, message broker, or large agent framework unless a concrete test result shows it is necessary.</w:t>
      </w:r>
    </w:p>
    <w:p>
      <w:pPr>
        <w:pStyle w:val="Heading1"/>
        <w:spacing w:before="200" w:after="100"/>
      </w:pPr>
      <w:r>
        <w:t>13. Token and latency optimization</w:t>
      </w:r>
    </w:p>
    <w:p>
      <w:pPr>
        <w:pStyle w:val="ListBullet"/>
        <w:spacing w:after="40"/>
      </w:pPr>
      <w:r>
        <w:t>Never send the full dataset to the LLM on every request.</w:t>
      </w:r>
    </w:p>
    <w:p>
      <w:pPr>
        <w:pStyle w:val="ListBullet"/>
        <w:spacing w:after="40"/>
      </w:pPr>
      <w:r>
        <w:t>Resolve the trigger first, then fetch only the linked merchant and category; fetch customer only when the trigger is customer-scoped.</w:t>
      </w:r>
    </w:p>
    <w:p>
      <w:pPr>
        <w:pStyle w:val="ListBullet"/>
        <w:spacing w:after="40"/>
      </w:pPr>
      <w:r>
        <w:t>Project each context into a compact relevant-view before prompting.</w:t>
      </w:r>
    </w:p>
    <w:p>
      <w:pPr>
        <w:pStyle w:val="ListBullet"/>
        <w:spacing w:after="40"/>
      </w:pPr>
      <w:r>
        <w:t>For research/compliance triggers, retrieve the specific digest item referenced by the trigger instead of the whole digest.</w:t>
      </w:r>
    </w:p>
    <w:p>
      <w:pPr>
        <w:pStyle w:val="ListBullet"/>
        <w:spacing w:after="40"/>
      </w:pPr>
      <w:r>
        <w:t>For performance triggers, pass the current metric, delta, relevant peer benchmark, active offer, and directly related signals.</w:t>
      </w:r>
    </w:p>
    <w:p>
      <w:pPr>
        <w:pStyle w:val="ListBullet"/>
        <w:spacing w:after="40"/>
      </w:pPr>
      <w:r>
        <w:t>For customer triggers, pass only the relationship facts, consent, language preference, active relevant offer and timing facts needed for the next message.</w:t>
      </w:r>
    </w:p>
    <w:p>
      <w:pPr>
        <w:pStyle w:val="ListBullet"/>
        <w:spacing w:after="40"/>
      </w:pPr>
      <w:r>
        <w:t>Use deterministic serialization/order for prompt context.</w:t>
      </w:r>
    </w:p>
    <w:p>
      <w:pPr>
        <w:pStyle w:val="ListBullet"/>
        <w:spacing w:after="40"/>
      </w:pPr>
      <w:r>
        <w:t>Set the LLM temperature to 0 (or the provider's deterministic equivalent).</w:t>
      </w:r>
    </w:p>
    <w:p>
      <w:pPr>
        <w:pStyle w:val="ListBullet"/>
        <w:spacing w:after="40"/>
      </w:pPr>
      <w:r>
        <w:t>Keep conversation memory bounded to the turns and facts needed for continuity.</w:t>
      </w:r>
    </w:p>
    <w:p>
      <w:pPr>
        <w:pStyle w:val="Heading1"/>
        <w:spacing w:before="200" w:after="100"/>
      </w:pPr>
      <w:r>
        <w:t>14. Trigger routing</w:t>
      </w:r>
    </w:p>
    <w:p>
      <w:r>
        <w:t>Implement a deterministic routing layer that maps trigger kind to an engagement strategy. The router answers: Should we send? Which signal matters? Which context fields are needed? What CTA style is valid? Which conversation or suppression state applies?</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3408"/>
            <w:vAlign w:val="center"/>
            <w:shd w:fill="D9EAF7"/>
          </w:tcPr>
          <w:p>
            <w:r/>
            <w:r>
              <w:rPr>
                <w:b/>
                <w:sz w:val="18"/>
              </w:rPr>
              <w:t>Trigger family</w:t>
            </w:r>
          </w:p>
        </w:tc>
        <w:tc>
          <w:tcPr>
            <w:tcW w:type="dxa" w:w="3408"/>
            <w:vAlign w:val="center"/>
            <w:shd w:fill="D9EAF7"/>
          </w:tcPr>
          <w:p>
            <w:r/>
            <w:r>
              <w:rPr>
                <w:b/>
                <w:sz w:val="18"/>
              </w:rPr>
              <w:t>Primary strategy</w:t>
            </w:r>
          </w:p>
        </w:tc>
        <w:tc>
          <w:tcPr>
            <w:tcW w:type="dxa" w:w="3408"/>
            <w:vAlign w:val="center"/>
            <w:shd w:fill="D9EAF7"/>
          </w:tcPr>
          <w:p>
            <w:r/>
            <w:r>
              <w:rPr>
                <w:b/>
                <w:sz w:val="18"/>
              </w:rPr>
              <w:t>Typical context</w:t>
            </w:r>
          </w:p>
        </w:tc>
      </w:tr>
      <w:tr>
        <w:trPr>
          <w:cantSplit/>
        </w:trPr>
        <w:tc>
          <w:tcPr>
            <w:tcW w:type="dxa" w:w="3408"/>
            <w:vAlign w:val="center"/>
          </w:tcPr>
          <w:p>
            <w:r/>
            <w:r>
              <w:rPr>
                <w:b w:val="0"/>
                <w:sz w:val="18"/>
              </w:rPr>
              <w:t>Research / digest</w:t>
            </w:r>
          </w:p>
        </w:tc>
        <w:tc>
          <w:tcPr>
            <w:tcW w:type="dxa" w:w="3408"/>
            <w:vAlign w:val="center"/>
          </w:tcPr>
          <w:p>
            <w:r/>
            <w:r>
              <w:rPr>
                <w:b w:val="0"/>
                <w:sz w:val="18"/>
              </w:rPr>
              <w:t>Knowledge + merchant relevance</w:t>
            </w:r>
          </w:p>
        </w:tc>
        <w:tc>
          <w:tcPr>
            <w:tcW w:type="dxa" w:w="3408"/>
            <w:vAlign w:val="center"/>
          </w:tcPr>
          <w:p>
            <w:r/>
            <w:r>
              <w:rPr>
                <w:b w:val="0"/>
                <w:sz w:val="18"/>
              </w:rPr>
              <w:t>Digest item, citation, merchant segment/signals, peer data.</w:t>
            </w:r>
          </w:p>
        </w:tc>
      </w:tr>
      <w:tr>
        <w:trPr>
          <w:cantSplit/>
        </w:trPr>
        <w:tc>
          <w:tcPr>
            <w:tcW w:type="dxa" w:w="3408"/>
            <w:vAlign w:val="center"/>
          </w:tcPr>
          <w:p>
            <w:r/>
            <w:r>
              <w:rPr>
                <w:b w:val="0"/>
                <w:sz w:val="18"/>
              </w:rPr>
              <w:t>Recall / refill</w:t>
            </w:r>
          </w:p>
        </w:tc>
        <w:tc>
          <w:tcPr>
            <w:tcW w:type="dxa" w:w="3408"/>
            <w:vAlign w:val="center"/>
          </w:tcPr>
          <w:p>
            <w:r/>
            <w:r>
              <w:rPr>
                <w:b w:val="0"/>
                <w:sz w:val="18"/>
              </w:rPr>
              <w:t>Customer utility</w:t>
            </w:r>
          </w:p>
        </w:tc>
        <w:tc>
          <w:tcPr>
            <w:tcW w:type="dxa" w:w="3408"/>
            <w:vAlign w:val="center"/>
          </w:tcPr>
          <w:p>
            <w:r/>
            <w:r>
              <w:rPr>
                <w:b w:val="0"/>
                <w:sz w:val="18"/>
              </w:rPr>
              <w:t>Customer relationship, due date, consent, relevant offer/slot.</w:t>
            </w:r>
          </w:p>
        </w:tc>
      </w:tr>
      <w:tr>
        <w:trPr>
          <w:cantSplit/>
        </w:trPr>
        <w:tc>
          <w:tcPr>
            <w:tcW w:type="dxa" w:w="3408"/>
            <w:vAlign w:val="center"/>
          </w:tcPr>
          <w:p>
            <w:r/>
            <w:r>
              <w:rPr>
                <w:b w:val="0"/>
                <w:sz w:val="18"/>
              </w:rPr>
              <w:t>Performance dip</w:t>
            </w:r>
          </w:p>
        </w:tc>
        <w:tc>
          <w:tcPr>
            <w:tcW w:type="dxa" w:w="3408"/>
            <w:vAlign w:val="center"/>
          </w:tcPr>
          <w:p>
            <w:r/>
            <w:r>
              <w:rPr>
                <w:b w:val="0"/>
                <w:sz w:val="18"/>
              </w:rPr>
              <w:t>Diagnosis + action</w:t>
            </w:r>
          </w:p>
        </w:tc>
        <w:tc>
          <w:tcPr>
            <w:tcW w:type="dxa" w:w="3408"/>
            <w:vAlign w:val="center"/>
          </w:tcPr>
          <w:p>
            <w:r/>
            <w:r>
              <w:rPr>
                <w:b w:val="0"/>
                <w:sz w:val="18"/>
              </w:rPr>
              <w:t>Current metric, delta, peer benchmark, merchant signals.</w:t>
            </w:r>
          </w:p>
        </w:tc>
      </w:tr>
      <w:tr>
        <w:trPr>
          <w:cantSplit/>
        </w:trPr>
        <w:tc>
          <w:tcPr>
            <w:tcW w:type="dxa" w:w="3408"/>
            <w:vAlign w:val="center"/>
          </w:tcPr>
          <w:p>
            <w:r/>
            <w:r>
              <w:rPr>
                <w:b w:val="0"/>
                <w:sz w:val="18"/>
              </w:rPr>
              <w:t>Performance spike / milestone</w:t>
            </w:r>
          </w:p>
        </w:tc>
        <w:tc>
          <w:tcPr>
            <w:tcW w:type="dxa" w:w="3408"/>
            <w:vAlign w:val="center"/>
          </w:tcPr>
          <w:p>
            <w:r/>
            <w:r>
              <w:rPr>
                <w:b w:val="0"/>
                <w:sz w:val="18"/>
              </w:rPr>
              <w:t>Proof + next leverage</w:t>
            </w:r>
          </w:p>
        </w:tc>
        <w:tc>
          <w:tcPr>
            <w:tcW w:type="dxa" w:w="3408"/>
            <w:vAlign w:val="center"/>
          </w:tcPr>
          <w:p>
            <w:r/>
            <w:r>
              <w:rPr>
                <w:b w:val="0"/>
                <w:sz w:val="18"/>
              </w:rPr>
              <w:t>Metric, milestone, trend, recent conversation.</w:t>
            </w:r>
          </w:p>
        </w:tc>
      </w:tr>
      <w:tr>
        <w:trPr>
          <w:cantSplit/>
        </w:trPr>
        <w:tc>
          <w:tcPr>
            <w:tcW w:type="dxa" w:w="3408"/>
            <w:vAlign w:val="center"/>
          </w:tcPr>
          <w:p>
            <w:r/>
            <w:r>
              <w:rPr>
                <w:b w:val="0"/>
                <w:sz w:val="18"/>
              </w:rPr>
              <w:t>Festival / event / weather</w:t>
            </w:r>
          </w:p>
        </w:tc>
        <w:tc>
          <w:tcPr>
            <w:tcW w:type="dxa" w:w="3408"/>
            <w:vAlign w:val="center"/>
          </w:tcPr>
          <w:p>
            <w:r/>
            <w:r>
              <w:rPr>
                <w:b w:val="0"/>
                <w:sz w:val="18"/>
              </w:rPr>
              <w:t>Timely opportunity</w:t>
            </w:r>
          </w:p>
        </w:tc>
        <w:tc>
          <w:tcPr>
            <w:tcW w:type="dxa" w:w="3408"/>
            <w:vAlign w:val="center"/>
          </w:tcPr>
          <w:p>
            <w:r/>
            <w:r>
              <w:rPr>
                <w:b w:val="0"/>
                <w:sz w:val="18"/>
              </w:rPr>
              <w:t>Event timing, merchant locality/category, active offer, demand signal.</w:t>
            </w:r>
          </w:p>
        </w:tc>
      </w:tr>
      <w:tr>
        <w:trPr>
          <w:cantSplit/>
        </w:trPr>
        <w:tc>
          <w:tcPr>
            <w:tcW w:type="dxa" w:w="3408"/>
            <w:vAlign w:val="center"/>
          </w:tcPr>
          <w:p>
            <w:r/>
            <w:r>
              <w:rPr>
                <w:b w:val="0"/>
                <w:sz w:val="18"/>
              </w:rPr>
              <w:t>Compliance / supply alert</w:t>
            </w:r>
          </w:p>
        </w:tc>
        <w:tc>
          <w:tcPr>
            <w:tcW w:type="dxa" w:w="3408"/>
            <w:vAlign w:val="center"/>
          </w:tcPr>
          <w:p>
            <w:r/>
            <w:r>
              <w:rPr>
                <w:b w:val="0"/>
                <w:sz w:val="18"/>
              </w:rPr>
              <w:t>Trustworthy precision</w:t>
            </w:r>
          </w:p>
        </w:tc>
        <w:tc>
          <w:tcPr>
            <w:tcW w:type="dxa" w:w="3408"/>
            <w:vAlign w:val="center"/>
          </w:tcPr>
          <w:p>
            <w:r/>
            <w:r>
              <w:rPr>
                <w:b w:val="0"/>
                <w:sz w:val="18"/>
              </w:rPr>
              <w:t>Source, affected item/batch, derived merchant impact.</w:t>
            </w:r>
          </w:p>
        </w:tc>
      </w:tr>
      <w:tr>
        <w:trPr>
          <w:cantSplit/>
        </w:trPr>
        <w:tc>
          <w:tcPr>
            <w:tcW w:type="dxa" w:w="3408"/>
            <w:vAlign w:val="center"/>
          </w:tcPr>
          <w:p>
            <w:r/>
            <w:r>
              <w:rPr>
                <w:b w:val="0"/>
                <w:sz w:val="18"/>
              </w:rPr>
              <w:t>Curiosity / scheduled</w:t>
            </w:r>
          </w:p>
        </w:tc>
        <w:tc>
          <w:tcPr>
            <w:tcW w:type="dxa" w:w="3408"/>
            <w:vAlign w:val="center"/>
          </w:tcPr>
          <w:p>
            <w:r/>
            <w:r>
              <w:rPr>
                <w:b w:val="0"/>
                <w:sz w:val="18"/>
              </w:rPr>
              <w:t>Useful question or insight</w:t>
            </w:r>
          </w:p>
        </w:tc>
        <w:tc>
          <w:tcPr>
            <w:tcW w:type="dxa" w:w="3408"/>
            <w:vAlign w:val="center"/>
          </w:tcPr>
          <w:p>
            <w:r/>
            <w:r>
              <w:rPr>
                <w:b w:val="0"/>
                <w:sz w:val="18"/>
              </w:rPr>
              <w:t>Merchant signals, recent history, category knowledge.</w:t>
            </w:r>
          </w:p>
        </w:tc>
      </w:tr>
    </w:tbl>
    <w:p/>
    <w:p>
      <w:pPr>
        <w:pStyle w:val="Heading1"/>
        <w:spacing w:before="200" w:after="100"/>
      </w:pPr>
      <w:r>
        <w:t>15. Conversation state machine</w:t>
      </w:r>
    </w:p>
    <w:p>
      <w:pPr>
        <w:spacing w:after="120"/>
        <w:ind w:left="432" w:right="432"/>
      </w:pPr>
      <w:r>
        <w:rPr>
          <w:rFonts w:ascii="Consolas" w:hAnsi="Consolas"/>
          <w:sz w:val="17"/>
        </w:rPr>
        <w:t>NEW</w:t>
        <w:br/>
        <w:t xml:space="preserve">  |</w:t>
        <w:br/>
        <w:t xml:space="preserve">  v</w:t>
        <w:br/>
        <w:t>PROACTIVE_SENT</w:t>
        <w:br/>
        <w:t xml:space="preserve">  |</w:t>
        <w:br/>
        <w:t xml:space="preserve">  +--&gt; ENGAGED ---------&gt; ACTION_PENDING -------&gt; WAITING/COMPLETE</w:t>
        <w:br/>
        <w:t xml:space="preserve">  |            \</w:t>
        <w:br/>
        <w:t xml:space="preserve">  |             \-------&gt; QUESTION</w:t>
        <w:br/>
        <w:t xml:space="preserve">  |</w:t>
        <w:br/>
        <w:t xml:space="preserve">  +--&gt; AUTO_REPLY -------(count 1..N)-------&gt; WAITING/END</w:t>
        <w:br/>
        <w:t xml:space="preserve">  |</w:t>
        <w:br/>
        <w:t xml:space="preserve">  +--&gt; OPTED_OUT --------------------------------&gt; END</w:t>
        <w:br/>
        <w:t xml:space="preserve">  |</w:t>
        <w:br/>
        <w:t xml:space="preserve">  +--&gt; NO_RESPONSE ----(bounded follow-up policy)--&gt; END</w:t>
      </w:r>
    </w:p>
    <w:p>
      <w:pPr>
        <w:pStyle w:val="ListBullet"/>
        <w:spacing w:after="40"/>
      </w:pPr>
      <w:r>
        <w:t>When a merchant clearly accepts an action ('yes', 'go ahead', 'let's do it'), switch from pitch mode to action mode immediately.</w:t>
      </w:r>
    </w:p>
    <w:p>
      <w:pPr>
        <w:pStyle w:val="ListBullet"/>
        <w:spacing w:after="40"/>
      </w:pPr>
      <w:r>
        <w:t>If an auto-reply pattern repeats, stop spending turns on conversational qualification.</w:t>
      </w:r>
    </w:p>
    <w:p>
      <w:pPr>
        <w:pStyle w:val="ListBullet"/>
        <w:spacing w:after="40"/>
      </w:pPr>
      <w:r>
        <w:t>If the merchant explicitly asks to stop, return end and preserve suppression.</w:t>
      </w:r>
    </w:p>
    <w:p>
      <w:pPr>
        <w:pStyle w:val="ListBullet"/>
        <w:spacing w:after="40"/>
      </w:pPr>
      <w:r>
        <w:t>After several unanswered nudges, stop rather than spam.</w:t>
      </w:r>
    </w:p>
    <w:p>
      <w:pPr>
        <w:pStyle w:val="ListBullet"/>
        <w:spacing w:after="40"/>
      </w:pPr>
      <w:r>
        <w:t>If the merchant changes language mid-conversation, adapt the reply language.</w:t>
      </w:r>
    </w:p>
    <w:p>
      <w:pPr>
        <w:pStyle w:val="ListBullet"/>
        <w:spacing w:after="40"/>
      </w:pPr>
      <w:r>
        <w:t>Prevent exact-body repetition per conversation.</w:t>
      </w:r>
    </w:p>
    <w:p>
      <w:pPr>
        <w:pStyle w:val="Heading1"/>
        <w:spacing w:before="200" w:after="100"/>
      </w:pPr>
      <w:r>
        <w:t>16. Suppression and dedup</w:t>
      </w:r>
    </w:p>
    <w:p>
      <w:pPr>
        <w:pStyle w:val="ListBullet"/>
        <w:spacing w:after="40"/>
      </w:pPr>
      <w:r>
        <w:t>Use trigger.suppression_key as the primary trigger-level dedup key.</w:t>
      </w:r>
    </w:p>
    <w:p>
      <w:pPr>
        <w:pStyle w:val="ListBullet"/>
        <w:spacing w:after="40"/>
      </w:pPr>
      <w:r>
        <w:t>Track whether the suppression key has already produced a send for the relevant merchant/conversation window.</w:t>
      </w:r>
    </w:p>
    <w:p>
      <w:pPr>
        <w:pStyle w:val="ListBullet"/>
        <w:spacing w:after="40"/>
      </w:pPr>
      <w:r>
        <w:t>Avoid duplicate sends from repeated ticks for the same trigger.</w:t>
      </w:r>
    </w:p>
    <w:p>
      <w:pPr>
        <w:pStyle w:val="ListBullet"/>
        <w:spacing w:after="40"/>
      </w:pPr>
      <w:r>
        <w:t>Keep a separate per-conversation previous-body hash/list for anti-repetition.</w:t>
      </w:r>
    </w:p>
    <w:p>
      <w:pPr>
        <w:pStyle w:val="ListBullet"/>
        <w:spacing w:after="40"/>
      </w:pPr>
      <w:r>
        <w:t>Respect explicit opt-out immediately and suppress subsequent outbound actions.</w:t>
      </w:r>
    </w:p>
    <w:p>
      <w:pPr>
        <w:pStyle w:val="Heading1"/>
        <w:spacing w:before="200" w:after="100"/>
      </w:pPr>
      <w:r>
        <w:t>17. Judge lifecycle</w:t>
      </w:r>
    </w:p>
    <w:p>
      <w:pPr>
        <w:spacing w:after="40"/>
        <w:ind w:left="0"/>
      </w:pPr>
      <w:r>
        <w:t>1. Warmup: health and metadata checks, followed by 5 categories + 50 merchants + 200 customers. Triggers arrive later.</w:t>
      </w:r>
    </w:p>
    <w:p>
      <w:pPr>
        <w:spacing w:after="40"/>
        <w:ind w:left="0"/>
      </w:pPr>
      <w:r>
        <w:t>2. Test window: simulated time advances in 5-minute ticks for 60 simulated minutes. Context updates may arrive before ticks.</w:t>
      </w:r>
    </w:p>
    <w:p>
      <w:pPr>
        <w:spacing w:after="40"/>
        <w:ind w:left="0"/>
      </w:pPr>
      <w:r>
        <w:t>3. Adaptive injection: new digest items, updated performance snapshots, new triggers, and customer contexts can arrive mid-test.</w:t>
      </w:r>
    </w:p>
    <w:p>
      <w:pPr>
        <w:spacing w:after="40"/>
        <w:ind w:left="0"/>
      </w:pPr>
      <w:r>
        <w:t>4. Replay: top 10 submissions face multi-turn auto-reply, intent-transition and hostile/off-topic scenarios.</w:t>
      </w:r>
    </w:p>
    <w:p>
      <w:pPr>
        <w:spacing w:after="40"/>
        <w:ind w:left="0"/>
      </w:pPr>
      <w:r>
        <w:t>5. Score report: message scores, logs, transcripts, timeline and judge rationale are produced.</w:t>
      </w:r>
    </w:p>
    <w:p>
      <w:pPr>
        <w:pStyle w:val="Heading1"/>
        <w:spacing w:before="200" w:after="100"/>
      </w:pPr>
      <w:r>
        <w:t>18. Operational limits</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3408"/>
            <w:vAlign w:val="center"/>
            <w:shd w:fill="D9EAF7"/>
          </w:tcPr>
          <w:p>
            <w:r/>
            <w:r>
              <w:rPr>
                <w:b/>
                <w:sz w:val="18"/>
              </w:rPr>
              <w:t>Constraint</w:t>
            </w:r>
          </w:p>
        </w:tc>
        <w:tc>
          <w:tcPr>
            <w:tcW w:type="dxa" w:w="3408"/>
            <w:vAlign w:val="center"/>
            <w:shd w:fill="D9EAF7"/>
          </w:tcPr>
          <w:p>
            <w:r/>
            <w:r>
              <w:rPr>
                <w:b/>
                <w:sz w:val="18"/>
              </w:rPr>
              <w:t>Value</w:t>
            </w:r>
          </w:p>
        </w:tc>
        <w:tc>
          <w:tcPr>
            <w:tcW w:type="dxa" w:w="3408"/>
            <w:vAlign w:val="center"/>
            <w:shd w:fill="D9EAF7"/>
          </w:tcPr>
          <w:p>
            <w:r/>
            <w:r>
              <w:rPr>
                <w:b/>
                <w:sz w:val="18"/>
              </w:rPr>
              <w:t>Design implication</w:t>
            </w:r>
          </w:p>
        </w:tc>
      </w:tr>
      <w:tr>
        <w:trPr>
          <w:cantSplit/>
        </w:trPr>
        <w:tc>
          <w:tcPr>
            <w:tcW w:type="dxa" w:w="3408"/>
            <w:vAlign w:val="center"/>
          </w:tcPr>
          <w:p>
            <w:r/>
            <w:r>
              <w:rPr>
                <w:b w:val="0"/>
                <w:sz w:val="18"/>
              </w:rPr>
              <w:t>Judge request rate</w:t>
            </w:r>
          </w:p>
        </w:tc>
        <w:tc>
          <w:tcPr>
            <w:tcW w:type="dxa" w:w="3408"/>
            <w:vAlign w:val="center"/>
          </w:tcPr>
          <w:p>
            <w:r/>
            <w:r>
              <w:rPr>
                <w:b w:val="0"/>
                <w:sz w:val="18"/>
              </w:rPr>
              <w:t>10 requests/sec</w:t>
            </w:r>
          </w:p>
        </w:tc>
        <w:tc>
          <w:tcPr>
            <w:tcW w:type="dxa" w:w="3408"/>
            <w:vAlign w:val="center"/>
          </w:tcPr>
          <w:p>
            <w:r/>
            <w:r>
              <w:rPr>
                <w:b w:val="0"/>
                <w:sz w:val="18"/>
              </w:rPr>
              <w:t>Keep handlers lightweight; avoid serial fan-out.</w:t>
            </w:r>
          </w:p>
        </w:tc>
      </w:tr>
      <w:tr>
        <w:trPr>
          <w:cantSplit/>
        </w:trPr>
        <w:tc>
          <w:tcPr>
            <w:tcW w:type="dxa" w:w="3408"/>
            <w:vAlign w:val="center"/>
          </w:tcPr>
          <w:p>
            <w:r/>
            <w:r>
              <w:rPr>
                <w:b w:val="0"/>
                <w:sz w:val="18"/>
              </w:rPr>
              <w:t>Per-call timeout</w:t>
            </w:r>
          </w:p>
        </w:tc>
        <w:tc>
          <w:tcPr>
            <w:tcW w:type="dxa" w:w="3408"/>
            <w:vAlign w:val="center"/>
          </w:tcPr>
          <w:p>
            <w:r/>
            <w:r>
              <w:rPr>
                <w:b w:val="0"/>
                <w:sz w:val="18"/>
              </w:rPr>
              <w:t>30 seconds</w:t>
            </w:r>
          </w:p>
        </w:tc>
        <w:tc>
          <w:tcPr>
            <w:tcW w:type="dxa" w:w="3408"/>
            <w:vAlign w:val="center"/>
          </w:tcPr>
          <w:p>
            <w:r/>
            <w:r>
              <w:rPr>
                <w:b w:val="0"/>
                <w:sz w:val="18"/>
              </w:rPr>
              <w:t>LLM call budget must fit comfortably inside 30s.</w:t>
            </w:r>
          </w:p>
        </w:tc>
      </w:tr>
      <w:tr>
        <w:trPr>
          <w:cantSplit/>
        </w:trPr>
        <w:tc>
          <w:tcPr>
            <w:tcW w:type="dxa" w:w="3408"/>
            <w:vAlign w:val="center"/>
          </w:tcPr>
          <w:p>
            <w:r/>
            <w:r>
              <w:rPr>
                <w:b w:val="0"/>
                <w:sz w:val="18"/>
              </w:rPr>
              <w:t>Context payload</w:t>
            </w:r>
          </w:p>
        </w:tc>
        <w:tc>
          <w:tcPr>
            <w:tcW w:type="dxa" w:w="3408"/>
            <w:vAlign w:val="center"/>
          </w:tcPr>
          <w:p>
            <w:r/>
            <w:r>
              <w:rPr>
                <w:b w:val="0"/>
                <w:sz w:val="18"/>
              </w:rPr>
              <w:t>500 KB</w:t>
            </w:r>
          </w:p>
        </w:tc>
        <w:tc>
          <w:tcPr>
            <w:tcW w:type="dxa" w:w="3408"/>
            <w:vAlign w:val="center"/>
          </w:tcPr>
          <w:p>
            <w:r/>
            <w:r>
              <w:rPr>
                <w:b w:val="0"/>
                <w:sz w:val="18"/>
              </w:rPr>
              <w:t>Validate incoming payloads; do not emit oversized data.</w:t>
            </w:r>
          </w:p>
        </w:tc>
      </w:tr>
      <w:tr>
        <w:trPr>
          <w:cantSplit/>
        </w:trPr>
        <w:tc>
          <w:tcPr>
            <w:tcW w:type="dxa" w:w="3408"/>
            <w:vAlign w:val="center"/>
          </w:tcPr>
          <w:p>
            <w:r/>
            <w:r>
              <w:rPr>
                <w:b w:val="0"/>
                <w:sz w:val="18"/>
              </w:rPr>
              <w:t>Actions per tick</w:t>
            </w:r>
          </w:p>
        </w:tc>
        <w:tc>
          <w:tcPr>
            <w:tcW w:type="dxa" w:w="3408"/>
            <w:vAlign w:val="center"/>
          </w:tcPr>
          <w:p>
            <w:r/>
            <w:r>
              <w:rPr>
                <w:b w:val="0"/>
                <w:sz w:val="18"/>
              </w:rPr>
              <w:t>20</w:t>
            </w:r>
          </w:p>
        </w:tc>
        <w:tc>
          <w:tcPr>
            <w:tcW w:type="dxa" w:w="3408"/>
            <w:vAlign w:val="center"/>
          </w:tcPr>
          <w:p>
            <w:r/>
            <w:r>
              <w:rPr>
                <w:b w:val="0"/>
                <w:sz w:val="18"/>
              </w:rPr>
              <w:t>Cap proactive sends.</w:t>
            </w:r>
          </w:p>
        </w:tc>
      </w:tr>
      <w:tr>
        <w:trPr>
          <w:cantSplit/>
        </w:trPr>
        <w:tc>
          <w:tcPr>
            <w:tcW w:type="dxa" w:w="3408"/>
            <w:vAlign w:val="center"/>
          </w:tcPr>
          <w:p>
            <w:r/>
            <w:r>
              <w:rPr>
                <w:b w:val="0"/>
                <w:sz w:val="18"/>
              </w:rPr>
              <w:t>Health failures</w:t>
            </w:r>
          </w:p>
        </w:tc>
        <w:tc>
          <w:tcPr>
            <w:tcW w:type="dxa" w:w="3408"/>
            <w:vAlign w:val="center"/>
          </w:tcPr>
          <w:p>
            <w:r/>
            <w:r>
              <w:rPr>
                <w:b w:val="0"/>
                <w:sz w:val="18"/>
              </w:rPr>
              <w:t>3 consecutive</w:t>
            </w:r>
          </w:p>
        </w:tc>
        <w:tc>
          <w:tcPr>
            <w:tcW w:type="dxa" w:w="3408"/>
            <w:vAlign w:val="center"/>
          </w:tcPr>
          <w:p>
            <w:r/>
            <w:r>
              <w:rPr>
                <w:b w:val="0"/>
                <w:sz w:val="18"/>
              </w:rPr>
              <w:t>Health endpoint must be cheap and robust.</w:t>
            </w:r>
          </w:p>
        </w:tc>
      </w:tr>
      <w:tr>
        <w:trPr>
          <w:cantSplit/>
        </w:trPr>
        <w:tc>
          <w:tcPr>
            <w:tcW w:type="dxa" w:w="3408"/>
            <w:vAlign w:val="center"/>
          </w:tcPr>
          <w:p>
            <w:r/>
            <w:r>
              <w:rPr>
                <w:b w:val="0"/>
                <w:sz w:val="18"/>
              </w:rPr>
              <w:t>Test window</w:t>
            </w:r>
          </w:p>
        </w:tc>
        <w:tc>
          <w:tcPr>
            <w:tcW w:type="dxa" w:w="3408"/>
            <w:vAlign w:val="center"/>
          </w:tcPr>
          <w:p>
            <w:r/>
            <w:r>
              <w:rPr>
                <w:b w:val="0"/>
                <w:sz w:val="18"/>
              </w:rPr>
              <w:t>60 simulated minutes</w:t>
            </w:r>
          </w:p>
        </w:tc>
        <w:tc>
          <w:tcPr>
            <w:tcW w:type="dxa" w:w="3408"/>
            <w:vAlign w:val="center"/>
          </w:tcPr>
          <w:p>
            <w:r/>
            <w:r>
              <w:rPr>
                <w:b w:val="0"/>
                <w:sz w:val="18"/>
              </w:rPr>
              <w:t>State must persist throughout the run.</w:t>
            </w:r>
          </w:p>
        </w:tc>
      </w:tr>
    </w:tbl>
    <w:p/>
    <w:p>
      <w:pPr>
        <w:pStyle w:val="Heading1"/>
        <w:spacing w:before="200" w:after="100"/>
      </w:pPr>
      <w:r>
        <w:t>19. Adaptive-context principle</w:t>
      </w:r>
    </w:p>
    <w:p>
      <w:r>
        <w:t>The evaluation is explicitly designed to defeat hardcoded responses. New digest items, performance shifts, triggers and customer scopes are injected after development. The system must use the context that has actually arrived most recently and must not carry stale facts into a newly enriched scenario.</w:t>
      </w:r>
    </w:p>
    <w:p>
      <w:pPr>
        <w:pStyle w:val="Heading1"/>
        <w:spacing w:before="200" w:after="100"/>
      </w:pPr>
      <w:r>
        <w:t>20. Case-study principles to emulate without copying</w:t>
      </w:r>
    </w:p>
    <w:p>
      <w:pPr>
        <w:pStyle w:val="ListBullet"/>
        <w:spacing w:after="40"/>
      </w:pPr>
      <w:r>
        <w:t>Use source citations when making research/compliance claims.</w:t>
      </w:r>
    </w:p>
    <w:p>
      <w:pPr>
        <w:pStyle w:val="ListBullet"/>
        <w:spacing w:after="40"/>
      </w:pPr>
      <w:r>
        <w:t>Derive numbers from the provided context rather than inventing them.</w:t>
      </w:r>
    </w:p>
    <w:p>
      <w:pPr>
        <w:pStyle w:val="ListBullet"/>
        <w:spacing w:after="40"/>
      </w:pPr>
      <w:r>
        <w:t>Use merchant/owner first name when present and appropriate.</w:t>
      </w:r>
    </w:p>
    <w:p>
      <w:pPr>
        <w:pStyle w:val="ListBullet"/>
        <w:spacing w:after="40"/>
      </w:pPr>
      <w:r>
        <w:t>Ask for one concrete next step and externalize effort by drafting the artifact when possible.</w:t>
      </w:r>
    </w:p>
    <w:p>
      <w:pPr>
        <w:pStyle w:val="ListBullet"/>
        <w:spacing w:after="40"/>
      </w:pPr>
      <w:r>
        <w:t>Honor customer language preference and relationship state.</w:t>
      </w:r>
    </w:p>
    <w:p>
      <w:pPr>
        <w:pStyle w:val="ListBullet"/>
        <w:spacing w:after="40"/>
      </w:pPr>
      <w:r>
        <w:t>Use correct category-specific vocabulary.</w:t>
      </w:r>
    </w:p>
    <w:p>
      <w:pPr>
        <w:pStyle w:val="ListBullet"/>
        <w:spacing w:after="40"/>
      </w:pPr>
      <w:r>
        <w:t>Demonstrate judgment; do not blindly promote every trigger.</w:t>
      </w:r>
    </w:p>
    <w:p>
      <w:pPr>
        <w:pStyle w:val="ListBullet"/>
        <w:spacing w:after="40"/>
      </w:pPr>
      <w:r>
        <w:t>Keep rationale concise and aligned with the actual message.</w:t>
      </w:r>
    </w:p>
    <w:p>
      <w:pPr>
        <w:pStyle w:val="ListBullet"/>
        <w:spacing w:after="40"/>
      </w:pPr>
      <w:r>
        <w:t>Never copy case-study wording verbatim or near-verbatim.</w:t>
      </w:r>
    </w:p>
    <w:p>
      <w:pPr>
        <w:pStyle w:val="Heading1"/>
        <w:spacing w:before="200" w:after="100"/>
      </w:pPr>
      <w:r>
        <w:t>21. Security and privacy</w:t>
      </w:r>
    </w:p>
    <w:p>
      <w:pPr>
        <w:pStyle w:val="ListBullet"/>
        <w:spacing w:after="40"/>
      </w:pPr>
      <w:r>
        <w:t>The challenge dataset is synthetic but realistic.</w:t>
      </w:r>
    </w:p>
    <w:p>
      <w:pPr>
        <w:pStyle w:val="ListBullet"/>
        <w:spacing w:after="40"/>
      </w:pPr>
      <w:r>
        <w:t>Do not scrape magicpin, Google, or real merchant data for the challenge.</w:t>
      </w:r>
    </w:p>
    <w:p>
      <w:pPr>
        <w:pStyle w:val="ListBullet"/>
        <w:spacing w:after="40"/>
      </w:pPr>
      <w:r>
        <w:t>Do not impersonate magicpin in external testing.</w:t>
      </w:r>
    </w:p>
    <w:p>
      <w:pPr>
        <w:pStyle w:val="ListBullet"/>
        <w:spacing w:after="40"/>
      </w:pPr>
      <w:r>
        <w:t>Do not transmit merchant/customer payloads to non-LLM external APIs.</w:t>
      </w:r>
    </w:p>
    <w:p>
      <w:pPr>
        <w:pStyle w:val="ListBullet"/>
        <w:spacing w:after="40"/>
      </w:pPr>
      <w:r>
        <w:t>Commercial LLM APIs may be used for composition.</w:t>
      </w:r>
    </w:p>
    <w:p>
      <w:pPr>
        <w:pStyle w:val="ListBullet"/>
        <w:spacing w:after="40"/>
      </w:pPr>
      <w:r>
        <w:t>Do not persist challenge context after the test. Implement optional /v1/teardown to wipe state if desired.</w:t>
      </w:r>
    </w:p>
    <w:p>
      <w:pPr>
        <w:pStyle w:val="Heading1"/>
        <w:spacing w:before="200" w:after="100"/>
      </w:pPr>
      <w:r>
        <w:t>22. Testing plan</w:t>
      </w:r>
    </w:p>
    <w:p>
      <w:pPr>
        <w:pStyle w:val="Heading2"/>
        <w:spacing w:before="200" w:after="100"/>
      </w:pPr>
      <w:r>
        <w:t>22.1 Contract tests</w:t>
      </w:r>
    </w:p>
    <w:p>
      <w:pPr>
        <w:pStyle w:val="ListBullet"/>
        <w:spacing w:after="40"/>
      </w:pPr>
      <w:r>
        <w:t>Healthz 200 response and count shape.</w:t>
      </w:r>
    </w:p>
    <w:p>
      <w:pPr>
        <w:pStyle w:val="ListBullet"/>
        <w:spacing w:after="40"/>
      </w:pPr>
      <w:r>
        <w:t>Metadata required keys.</w:t>
      </w:r>
    </w:p>
    <w:p>
      <w:pPr>
        <w:pStyle w:val="ListBullet"/>
        <w:spacing w:after="40"/>
      </w:pPr>
      <w:r>
        <w:t>Context idempotency and stale version behavior.</w:t>
      </w:r>
    </w:p>
    <w:p>
      <w:pPr>
        <w:pStyle w:val="ListBullet"/>
        <w:spacing w:after="40"/>
      </w:pPr>
      <w:r>
        <w:t>Tick action schema including empty actions.</w:t>
      </w:r>
    </w:p>
    <w:p>
      <w:pPr>
        <w:pStyle w:val="ListBullet"/>
        <w:spacing w:after="40"/>
      </w:pPr>
      <w:r>
        <w:t>Reply send/wait/end schema.</w:t>
      </w:r>
    </w:p>
    <w:p>
      <w:pPr>
        <w:pStyle w:val="ListBullet"/>
        <w:spacing w:after="40"/>
      </w:pPr>
      <w:r>
        <w:t>No duplicate conversation_id reuse for new proactive sends.</w:t>
      </w:r>
    </w:p>
    <w:p>
      <w:pPr>
        <w:pStyle w:val="Heading2"/>
        <w:spacing w:before="200" w:after="100"/>
      </w:pPr>
      <w:r>
        <w:t>22.2 Behavioral tests</w:t>
      </w:r>
    </w:p>
    <w:p>
      <w:pPr>
        <w:pStyle w:val="ListBullet"/>
        <w:spacing w:after="40"/>
      </w:pPr>
      <w:r>
        <w:t>Research trigger uses digest item and source citation.</w:t>
      </w:r>
    </w:p>
    <w:p>
      <w:pPr>
        <w:pStyle w:val="ListBullet"/>
        <w:spacing w:after="40"/>
      </w:pPr>
      <w:r>
        <w:t>Performance dip uses actual changed metric and relevant peer stat.</w:t>
      </w:r>
    </w:p>
    <w:p>
      <w:pPr>
        <w:pStyle w:val="ListBullet"/>
        <w:spacing w:after="40"/>
      </w:pPr>
      <w:r>
        <w:t>Recall uses customer consent and relationship facts.</w:t>
      </w:r>
    </w:p>
    <w:p>
      <w:pPr>
        <w:pStyle w:val="ListBullet"/>
        <w:spacing w:after="40"/>
      </w:pPr>
      <w:r>
        <w:t>Hard no causes end.</w:t>
      </w:r>
    </w:p>
    <w:p>
      <w:pPr>
        <w:pStyle w:val="ListBullet"/>
        <w:spacing w:after="40"/>
      </w:pPr>
      <w:r>
        <w:t>Repeated canned auto-reply causes wait/end according to policy.</w:t>
      </w:r>
    </w:p>
    <w:p>
      <w:pPr>
        <w:pStyle w:val="ListBullet"/>
        <w:spacing w:after="40"/>
      </w:pPr>
      <w:r>
        <w:t>YES / go-ahead immediately transitions to action mode.</w:t>
      </w:r>
    </w:p>
    <w:p>
      <w:pPr>
        <w:pStyle w:val="ListBullet"/>
        <w:spacing w:after="40"/>
      </w:pPr>
      <w:r>
        <w:t>Mid-test version update changes subsequent composition.</w:t>
      </w:r>
    </w:p>
    <w:p>
      <w:pPr>
        <w:pStyle w:val="ListBullet"/>
        <w:spacing w:after="40"/>
      </w:pPr>
      <w:r>
        <w:t>Same trigger/suppression key does not create duplicate outreach.</w:t>
      </w:r>
    </w:p>
    <w:p>
      <w:pPr>
        <w:pStyle w:val="ListBullet"/>
        <w:spacing w:after="40"/>
      </w:pPr>
      <w:r>
        <w:t>Same body is not repeated in one conversation.</w:t>
      </w:r>
    </w:p>
    <w:p>
      <w:pPr>
        <w:pStyle w:val="Heading1"/>
        <w:spacing w:before="200" w:after="100"/>
      </w:pPr>
      <w:r>
        <w:t>23. 24-hour implementation plan</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vAlign w:val="center"/>
            <w:shd w:fill="D9EAF7"/>
          </w:tcPr>
          <w:p>
            <w:r/>
            <w:r>
              <w:rPr>
                <w:b/>
                <w:sz w:val="18"/>
              </w:rPr>
              <w:t>Window</w:t>
            </w:r>
          </w:p>
        </w:tc>
        <w:tc>
          <w:tcPr>
            <w:tcW w:type="dxa" w:w="5112"/>
            <w:vAlign w:val="center"/>
            <w:shd w:fill="D9EAF7"/>
          </w:tcPr>
          <w:p>
            <w:r/>
            <w:r>
              <w:rPr>
                <w:b/>
                <w:sz w:val="18"/>
              </w:rPr>
              <w:t>Primary outcome</w:t>
            </w:r>
          </w:p>
        </w:tc>
      </w:tr>
      <w:tr>
        <w:trPr>
          <w:cantSplit/>
        </w:trPr>
        <w:tc>
          <w:tcPr>
            <w:tcW w:type="dxa" w:w="5112"/>
            <w:vAlign w:val="center"/>
          </w:tcPr>
          <w:p>
            <w:r/>
            <w:r>
              <w:rPr>
                <w:b w:val="0"/>
                <w:sz w:val="18"/>
              </w:rPr>
              <w:t>0–2h</w:t>
            </w:r>
          </w:p>
        </w:tc>
        <w:tc>
          <w:tcPr>
            <w:tcW w:type="dxa" w:w="5112"/>
            <w:vAlign w:val="center"/>
          </w:tcPr>
          <w:p>
            <w:r/>
            <w:r>
              <w:rPr>
                <w:b w:val="0"/>
                <w:sz w:val="18"/>
              </w:rPr>
              <w:t>Project scaffold, models, config, FastAPI, healthz/metadata.</w:t>
            </w:r>
          </w:p>
        </w:tc>
      </w:tr>
      <w:tr>
        <w:trPr>
          <w:cantSplit/>
        </w:trPr>
        <w:tc>
          <w:tcPr>
            <w:tcW w:type="dxa" w:w="5112"/>
            <w:vAlign w:val="center"/>
          </w:tcPr>
          <w:p>
            <w:r/>
            <w:r>
              <w:rPr>
                <w:b w:val="0"/>
                <w:sz w:val="18"/>
              </w:rPr>
              <w:t>2–5h</w:t>
            </w:r>
          </w:p>
        </w:tc>
        <w:tc>
          <w:tcPr>
            <w:tcW w:type="dxa" w:w="5112"/>
            <w:vAlign w:val="center"/>
          </w:tcPr>
          <w:p>
            <w:r/>
            <w:r>
              <w:rPr>
                <w:b w:val="0"/>
                <w:sz w:val="18"/>
              </w:rPr>
              <w:t>Context store + versioning + schemas + tick skeleton.</w:t>
            </w:r>
          </w:p>
        </w:tc>
      </w:tr>
      <w:tr>
        <w:trPr>
          <w:cantSplit/>
        </w:trPr>
        <w:tc>
          <w:tcPr>
            <w:tcW w:type="dxa" w:w="5112"/>
            <w:vAlign w:val="center"/>
          </w:tcPr>
          <w:p>
            <w:r/>
            <w:r>
              <w:rPr>
                <w:b w:val="0"/>
                <w:sz w:val="18"/>
              </w:rPr>
              <w:t>5–8h</w:t>
            </w:r>
          </w:p>
        </w:tc>
        <w:tc>
          <w:tcPr>
            <w:tcW w:type="dxa" w:w="5112"/>
            <w:vAlign w:val="center"/>
          </w:tcPr>
          <w:p>
            <w:r/>
            <w:r>
              <w:rPr>
                <w:b w:val="0"/>
                <w:sz w:val="18"/>
              </w:rPr>
              <w:t>Trigger router + context selector + deterministic suppression.</w:t>
            </w:r>
          </w:p>
        </w:tc>
      </w:tr>
      <w:tr>
        <w:trPr>
          <w:cantSplit/>
        </w:trPr>
        <w:tc>
          <w:tcPr>
            <w:tcW w:type="dxa" w:w="5112"/>
            <w:vAlign w:val="center"/>
          </w:tcPr>
          <w:p>
            <w:r/>
            <w:r>
              <w:rPr>
                <w:b w:val="0"/>
                <w:sz w:val="18"/>
              </w:rPr>
              <w:t>8–12h</w:t>
            </w:r>
          </w:p>
        </w:tc>
        <w:tc>
          <w:tcPr>
            <w:tcW w:type="dxa" w:w="5112"/>
            <w:vAlign w:val="center"/>
          </w:tcPr>
          <w:p>
            <w:r/>
            <w:r>
              <w:rPr>
                <w:b w:val="0"/>
                <w:sz w:val="18"/>
              </w:rPr>
              <w:t>LLM provider + prompt builder + structured output + validation.</w:t>
            </w:r>
          </w:p>
        </w:tc>
      </w:tr>
      <w:tr>
        <w:trPr>
          <w:cantSplit/>
        </w:trPr>
        <w:tc>
          <w:tcPr>
            <w:tcW w:type="dxa" w:w="5112"/>
            <w:vAlign w:val="center"/>
          </w:tcPr>
          <w:p>
            <w:r/>
            <w:r>
              <w:rPr>
                <w:b w:val="0"/>
                <w:sz w:val="18"/>
              </w:rPr>
              <w:t>12–16h</w:t>
            </w:r>
          </w:p>
        </w:tc>
        <w:tc>
          <w:tcPr>
            <w:tcW w:type="dxa" w:w="5112"/>
            <w:vAlign w:val="center"/>
          </w:tcPr>
          <w:p>
            <w:r/>
            <w:r>
              <w:rPr>
                <w:b w:val="0"/>
                <w:sz w:val="18"/>
              </w:rPr>
              <w:t>Conversation state + intent transition + auto-reply + opt-out + language adaptation.</w:t>
            </w:r>
          </w:p>
        </w:tc>
      </w:tr>
      <w:tr>
        <w:trPr>
          <w:cantSplit/>
        </w:trPr>
        <w:tc>
          <w:tcPr>
            <w:tcW w:type="dxa" w:w="5112"/>
            <w:vAlign w:val="center"/>
          </w:tcPr>
          <w:p>
            <w:r/>
            <w:r>
              <w:rPr>
                <w:b w:val="0"/>
                <w:sz w:val="18"/>
              </w:rPr>
              <w:t>16–19h</w:t>
            </w:r>
          </w:p>
        </w:tc>
        <w:tc>
          <w:tcPr>
            <w:tcW w:type="dxa" w:w="5112"/>
            <w:vAlign w:val="center"/>
          </w:tcPr>
          <w:p>
            <w:r/>
            <w:r>
              <w:rPr>
                <w:b w:val="0"/>
                <w:sz w:val="18"/>
              </w:rPr>
              <w:t>Run judge simulator; fix failures; add contract and regression tests.</w:t>
            </w:r>
          </w:p>
        </w:tc>
      </w:tr>
      <w:tr>
        <w:trPr>
          <w:cantSplit/>
        </w:trPr>
        <w:tc>
          <w:tcPr>
            <w:tcW w:type="dxa" w:w="5112"/>
            <w:vAlign w:val="center"/>
          </w:tcPr>
          <w:p>
            <w:r/>
            <w:r>
              <w:rPr>
                <w:b w:val="0"/>
                <w:sz w:val="18"/>
              </w:rPr>
              <w:t>19–22h</w:t>
            </w:r>
          </w:p>
        </w:tc>
        <w:tc>
          <w:tcPr>
            <w:tcW w:type="dxa" w:w="5112"/>
            <w:vAlign w:val="center"/>
          </w:tcPr>
          <w:p>
            <w:r/>
            <w:r>
              <w:rPr>
                <w:b w:val="0"/>
                <w:sz w:val="18"/>
              </w:rPr>
              <w:t>Deploy public URL; stress latency/rate limits; verify fresh-context behavior.</w:t>
            </w:r>
          </w:p>
        </w:tc>
      </w:tr>
      <w:tr>
        <w:trPr>
          <w:cantSplit/>
        </w:trPr>
        <w:tc>
          <w:tcPr>
            <w:tcW w:type="dxa" w:w="5112"/>
            <w:vAlign w:val="center"/>
          </w:tcPr>
          <w:p>
            <w:r/>
            <w:r>
              <w:rPr>
                <w:b w:val="0"/>
                <w:sz w:val="18"/>
              </w:rPr>
              <w:t>22–24h</w:t>
            </w:r>
          </w:p>
        </w:tc>
        <w:tc>
          <w:tcPr>
            <w:tcW w:type="dxa" w:w="5112"/>
            <w:vAlign w:val="center"/>
          </w:tcPr>
          <w:p>
            <w:r/>
            <w:r>
              <w:rPr>
                <w:b w:val="0"/>
                <w:sz w:val="18"/>
              </w:rPr>
              <w:t>README, metadata, submission artifacts, final local replay, final smoke test.</w:t>
            </w:r>
          </w:p>
        </w:tc>
      </w:tr>
    </w:tbl>
    <w:p/>
    <w:p>
      <w:pPr>
        <w:pStyle w:val="Heading1"/>
        <w:spacing w:before="200" w:after="100"/>
      </w:pPr>
      <w:r>
        <w:t>24. Definition of done</w:t>
      </w:r>
    </w:p>
    <w:p>
      <w:pPr>
        <w:pStyle w:val="ListBullet"/>
        <w:spacing w:after="40"/>
      </w:pPr>
      <w:r>
        <w:t>All five required endpoints are publicly reachable.</w:t>
      </w:r>
    </w:p>
    <w:p>
      <w:pPr>
        <w:pStyle w:val="ListBullet"/>
        <w:spacing w:after="40"/>
      </w:pPr>
      <w:r>
        <w:t>The base dataset loads and counts correctly during warmup.</w:t>
      </w:r>
    </w:p>
    <w:p>
      <w:pPr>
        <w:pStyle w:val="ListBullet"/>
        <w:spacing w:after="40"/>
      </w:pPr>
      <w:r>
        <w:t>Context versioning is idempotent and stale-safe.</w:t>
      </w:r>
    </w:p>
    <w:p>
      <w:pPr>
        <w:pStyle w:val="ListBullet"/>
        <w:spacing w:after="40"/>
      </w:pPr>
      <w:r>
        <w:t>Tick produces grounded actions or correctly returns no action.</w:t>
      </w:r>
    </w:p>
    <w:p>
      <w:pPr>
        <w:pStyle w:val="ListBullet"/>
        <w:spacing w:after="40"/>
      </w:pPr>
      <w:r>
        <w:t>Reply correctly handles send, wait, end.</w:t>
      </w:r>
    </w:p>
    <w:p>
      <w:pPr>
        <w:pStyle w:val="ListBullet"/>
        <w:spacing w:after="40"/>
      </w:pPr>
      <w:r>
        <w:t>First outbound uses template metadata; subsequent session turns are handled appropriately.</w:t>
      </w:r>
    </w:p>
    <w:p>
      <w:pPr>
        <w:pStyle w:val="ListBullet"/>
        <w:spacing w:after="40"/>
      </w:pPr>
      <w:r>
        <w:t>No hallucinated facts, no repeated bodies, no multiple primary CTAs.</w:t>
      </w:r>
    </w:p>
    <w:p>
      <w:pPr>
        <w:pStyle w:val="ListBullet"/>
        <w:spacing w:after="40"/>
      </w:pPr>
      <w:r>
        <w:t>Auto-replies, opt-outs and intent transitions behave correctly.</w:t>
      </w:r>
    </w:p>
    <w:p>
      <w:pPr>
        <w:pStyle w:val="ListBullet"/>
        <w:spacing w:after="40"/>
      </w:pPr>
      <w:r>
        <w:t>The system adapts to new versions injected mid-test.</w:t>
      </w:r>
    </w:p>
    <w:p>
      <w:pPr>
        <w:pStyle w:val="ListBullet"/>
        <w:spacing w:after="40"/>
      </w:pPr>
      <w:r>
        <w:t>Judge simulator runs end-to-end without contract failures.</w:t>
      </w:r>
    </w:p>
    <w:p>
      <w:pPr>
        <w:pStyle w:val="ListBullet"/>
        <w:spacing w:after="40"/>
      </w:pPr>
      <w:r>
        <w:t>Latency remains comfortably below 30s, including LLM calls.</w:t>
      </w:r>
    </w:p>
    <w:p>
      <w:pPr>
        <w:pStyle w:val="ListBullet"/>
        <w:spacing w:after="40"/>
      </w:pPr>
      <w:r>
        <w:t>Public URL remains live through evaluation.</w:t>
      </w:r>
    </w:p>
    <w:p>
      <w:pPr>
        <w:pStyle w:val="ListBullet"/>
        <w:spacing w:after="40"/>
      </w:pPr>
      <w:r>
        <w:t>README clearly states approach, model/provider, tradeoffs, and any additional context that would have helped.</w:t>
      </w:r>
    </w:p>
    <w:p>
      <w:pPr>
        <w:pStyle w:val="Heading1"/>
        <w:spacing w:before="200" w:after="100"/>
      </w:pPr>
      <w:r>
        <w:t>25. Recommended repository structure</w:t>
      </w:r>
    </w:p>
    <w:p>
      <w:pPr>
        <w:spacing w:after="120"/>
        <w:ind w:left="432" w:right="432"/>
      </w:pPr>
      <w:r>
        <w:rPr>
          <w:rFonts w:ascii="Consolas" w:hAnsi="Consolas"/>
          <w:sz w:val="17"/>
        </w:rPr>
        <w:t>vera/</w:t>
        <w:br/>
        <w:t>├── app.py</w:t>
        <w:br/>
        <w:t>├── models.py</w:t>
        <w:br/>
        <w:t>├── config.py</w:t>
        <w:br/>
        <w:t>├── context_store.py</w:t>
        <w:br/>
        <w:t>├── conversation_state.py</w:t>
        <w:br/>
        <w:t>├── trigger_router.py</w:t>
        <w:br/>
        <w:t>├── context_selector.py</w:t>
        <w:br/>
        <w:t>├── strategies.py</w:t>
        <w:br/>
        <w:t>├── prompt_builder.py</w:t>
        <w:br/>
        <w:t>├── llm_client.py</w:t>
        <w:br/>
        <w:t>├── validator.py</w:t>
        <w:br/>
        <w:t>├── composer.py</w:t>
        <w:br/>
        <w:t>├── suppression.py</w:t>
        <w:br/>
        <w:t>├── language.py</w:t>
        <w:br/>
        <w:t>├── tests/</w:t>
        <w:br/>
        <w:t>├── judge_simulator.py</w:t>
        <w:br/>
        <w:t>├── README.md</w:t>
        <w:br/>
        <w:t>└── .env.example</w:t>
      </w:r>
    </w:p>
    <w:p>
      <w:pPr>
        <w:pStyle w:val="Heading1"/>
        <w:spacing w:before="200" w:after="100"/>
      </w:pPr>
      <w:r>
        <w:t>26. Integravity execution objective</w:t>
      </w:r>
    </w:p>
    <w:p>
      <w:r>
        <w:t>Treat the companion meta prompt as an autonomous engineering work order. The agent should inspect the provided challenge files before writing code, preserve the supplied judge simulator and examples, implement the service contract first, add the decision/state/LLM layers second, and run the official local simulator before deployment. The agent must optimize for the actual judge behavior rather than for a demo UI.</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