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BA" w:rsidRDefault="004E31AC">
      <w:pPr>
        <w:pStyle w:val="Standard"/>
        <w:widowControl/>
        <w:shd w:val="clear" w:color="auto" w:fill="FFFFFF"/>
      </w:pPr>
      <w:r>
        <w:rPr>
          <w:rFonts w:ascii="Arial" w:hAnsi="Arial"/>
          <w:color w:val="000000"/>
        </w:rPr>
        <w:t>Команда </w:t>
      </w:r>
      <w:r>
        <w:rPr>
          <w:rStyle w:val="a4"/>
          <w:rFonts w:ascii="Arial" w:hAnsi="Arial"/>
          <w:b/>
          <w:i w:val="0"/>
          <w:color w:val="000000"/>
        </w:rPr>
        <w:t>NETSTAT</w:t>
      </w:r>
      <w:r>
        <w:rPr>
          <w:rFonts w:ascii="Arial" w:hAnsi="Arial"/>
          <w:color w:val="000000"/>
        </w:rPr>
        <w:t> </w:t>
      </w:r>
      <w:r>
        <w:rPr>
          <w:rFonts w:ascii="Arial" w:hAnsi="Arial"/>
          <w:color w:val="000000"/>
        </w:rPr>
        <w:t>- средство отображения сведений о сетевых соединениях и получения статистической информации по протоколам.</w:t>
      </w: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p w:rsidR="00B157BA" w:rsidRDefault="004E31AC">
      <w:pPr>
        <w:pStyle w:val="Heading2"/>
        <w:widowControl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СИНТАКСИС</w:t>
      </w:r>
    </w:p>
    <w:p w:rsidR="00B157BA" w:rsidRDefault="004E31AC">
      <w:pPr>
        <w:pStyle w:val="ListContents"/>
      </w:pPr>
      <w:r>
        <w:rPr>
          <w:rStyle w:val="Teletype"/>
          <w:rFonts w:ascii="Arial" w:hAnsi="Arial"/>
          <w:color w:val="000000"/>
        </w:rPr>
        <w:t>netstat [-Aan] [-f </w:t>
      </w:r>
      <w:r>
        <w:rPr>
          <w:rStyle w:val="Teletype"/>
          <w:rFonts w:ascii="Arial" w:hAnsi="Arial"/>
          <w:b/>
          <w:color w:val="000000"/>
        </w:rPr>
        <w:t>семейство_адресов</w:t>
      </w:r>
      <w:r>
        <w:rPr>
          <w:rStyle w:val="Teletype"/>
          <w:rFonts w:ascii="Arial" w:hAnsi="Arial"/>
          <w:color w:val="000000"/>
        </w:rPr>
        <w:t>] [-I </w:t>
      </w:r>
      <w:r>
        <w:rPr>
          <w:rStyle w:val="Teletype"/>
          <w:rFonts w:ascii="Arial" w:hAnsi="Arial"/>
          <w:b/>
          <w:color w:val="000000"/>
        </w:rPr>
        <w:t>интерфейс</w:t>
      </w:r>
      <w:r>
        <w:rPr>
          <w:rStyle w:val="Teletype"/>
          <w:rFonts w:ascii="Arial" w:hAnsi="Arial"/>
          <w:color w:val="000000"/>
        </w:rPr>
        <w:t>] [-p </w:t>
      </w:r>
      <w:r>
        <w:rPr>
          <w:rStyle w:val="Teletype"/>
          <w:rFonts w:ascii="Arial" w:hAnsi="Arial"/>
          <w:b/>
          <w:color w:val="000000"/>
        </w:rPr>
        <w:t>имя_протокола</w:t>
      </w:r>
      <w:r>
        <w:rPr>
          <w:rStyle w:val="Teletype"/>
          <w:rFonts w:ascii="Arial" w:hAnsi="Arial"/>
          <w:color w:val="000000"/>
        </w:rPr>
        <w:t>] [</w:t>
      </w:r>
      <w:r>
        <w:rPr>
          <w:rStyle w:val="Teletype"/>
          <w:rFonts w:ascii="Arial" w:hAnsi="Arial"/>
          <w:b/>
          <w:color w:val="000000"/>
        </w:rPr>
        <w:t>система</w:t>
      </w:r>
      <w:r>
        <w:rPr>
          <w:rStyle w:val="Teletype"/>
          <w:rFonts w:ascii="Arial" w:hAnsi="Arial"/>
          <w:color w:val="000000"/>
        </w:rPr>
        <w:t>] [</w:t>
      </w:r>
      <w:r>
        <w:rPr>
          <w:rStyle w:val="Teletype"/>
          <w:rFonts w:ascii="Arial" w:hAnsi="Arial"/>
          <w:b/>
          <w:color w:val="000000"/>
        </w:rPr>
        <w:t>core</w:t>
      </w:r>
      <w:r>
        <w:rPr>
          <w:rStyle w:val="Teletype"/>
          <w:rFonts w:ascii="Arial" w:hAnsi="Arial"/>
          <w:color w:val="000000"/>
        </w:rPr>
        <w:t>] </w:t>
      </w:r>
      <w:r>
        <w:rPr>
          <w:rStyle w:val="Teletype"/>
          <w:rFonts w:ascii="Arial" w:hAnsi="Arial"/>
          <w:color w:val="000000"/>
        </w:rPr>
        <w:br/>
      </w:r>
      <w:r>
        <w:rPr>
          <w:rStyle w:val="Teletype"/>
          <w:rFonts w:ascii="Arial" w:hAnsi="Arial"/>
          <w:color w:val="000000"/>
        </w:rPr>
        <w:t>netstat [-n] [-s] [-i | -r] [-f </w:t>
      </w:r>
      <w:r>
        <w:rPr>
          <w:rStyle w:val="Teletype"/>
          <w:rFonts w:ascii="Arial" w:hAnsi="Arial"/>
          <w:b/>
          <w:color w:val="000000"/>
        </w:rPr>
        <w:t>семейство_адресов</w:t>
      </w:r>
      <w:r>
        <w:rPr>
          <w:rStyle w:val="Teletype"/>
          <w:rFonts w:ascii="Arial" w:hAnsi="Arial"/>
          <w:color w:val="000000"/>
        </w:rPr>
        <w:t>] [-I </w:t>
      </w:r>
      <w:r>
        <w:rPr>
          <w:rStyle w:val="Teletype"/>
          <w:rFonts w:ascii="Arial" w:hAnsi="Arial"/>
          <w:b/>
          <w:color w:val="000000"/>
        </w:rPr>
        <w:t>интерфейс</w:t>
      </w:r>
      <w:r>
        <w:rPr>
          <w:rStyle w:val="Teletype"/>
          <w:rFonts w:ascii="Arial" w:hAnsi="Arial"/>
          <w:color w:val="000000"/>
        </w:rPr>
        <w:t>] [-p </w:t>
      </w:r>
      <w:r>
        <w:rPr>
          <w:rStyle w:val="Teletype"/>
          <w:rFonts w:ascii="Arial" w:hAnsi="Arial"/>
          <w:b/>
          <w:color w:val="000000"/>
        </w:rPr>
        <w:t>имя_протокола</w:t>
      </w:r>
      <w:r>
        <w:rPr>
          <w:rStyle w:val="Teletype"/>
          <w:rFonts w:ascii="Arial" w:hAnsi="Arial"/>
          <w:color w:val="000000"/>
        </w:rPr>
        <w:t>] [</w:t>
      </w:r>
      <w:r>
        <w:rPr>
          <w:rStyle w:val="Teletype"/>
          <w:rFonts w:ascii="Arial" w:hAnsi="Arial"/>
          <w:b/>
          <w:color w:val="000000"/>
        </w:rPr>
        <w:t>система</w:t>
      </w:r>
      <w:r>
        <w:rPr>
          <w:rStyle w:val="Teletype"/>
          <w:rFonts w:ascii="Arial" w:hAnsi="Arial"/>
          <w:color w:val="000000"/>
        </w:rPr>
        <w:t>] [</w:t>
      </w:r>
      <w:r>
        <w:rPr>
          <w:rStyle w:val="Teletype"/>
          <w:rFonts w:ascii="Arial" w:hAnsi="Arial"/>
          <w:b/>
          <w:color w:val="000000"/>
        </w:rPr>
        <w:t>core</w:t>
      </w:r>
      <w:r>
        <w:rPr>
          <w:rStyle w:val="Teletype"/>
          <w:rFonts w:ascii="Arial" w:hAnsi="Arial"/>
          <w:color w:val="000000"/>
        </w:rPr>
        <w:t>] </w:t>
      </w:r>
      <w:r>
        <w:rPr>
          <w:rStyle w:val="Teletype"/>
          <w:rFonts w:ascii="Arial" w:hAnsi="Arial"/>
          <w:color w:val="000000"/>
        </w:rPr>
        <w:br/>
      </w:r>
      <w:r>
        <w:rPr>
          <w:rStyle w:val="Teletype"/>
          <w:rFonts w:ascii="Arial" w:hAnsi="Arial"/>
          <w:color w:val="000000"/>
        </w:rPr>
        <w:t>netstat [-n] [-I </w:t>
      </w:r>
      <w:r>
        <w:rPr>
          <w:rStyle w:val="Teletype"/>
          <w:rFonts w:ascii="Arial" w:hAnsi="Arial"/>
          <w:b/>
          <w:color w:val="000000"/>
        </w:rPr>
        <w:t>интерфейс</w:t>
      </w:r>
      <w:r>
        <w:rPr>
          <w:rStyle w:val="Teletype"/>
          <w:rFonts w:ascii="Arial" w:hAnsi="Arial"/>
          <w:color w:val="000000"/>
        </w:rPr>
        <w:t>] </w:t>
      </w:r>
      <w:r>
        <w:rPr>
          <w:rStyle w:val="Teletype"/>
          <w:rFonts w:ascii="Arial" w:hAnsi="Arial"/>
          <w:b/>
          <w:color w:val="000000"/>
        </w:rPr>
        <w:t>интервал</w:t>
      </w:r>
      <w:r>
        <w:rPr>
          <w:rStyle w:val="Teletype"/>
          <w:rFonts w:ascii="Arial" w:hAnsi="Arial"/>
          <w:color w:val="000000"/>
        </w:rPr>
        <w:t> [</w:t>
      </w:r>
      <w:r>
        <w:rPr>
          <w:rStyle w:val="Teletype"/>
          <w:rFonts w:ascii="Arial" w:hAnsi="Arial"/>
          <w:b/>
          <w:color w:val="000000"/>
        </w:rPr>
        <w:t>система</w:t>
      </w:r>
      <w:r>
        <w:rPr>
          <w:rStyle w:val="Teletype"/>
          <w:rFonts w:ascii="Arial" w:hAnsi="Arial"/>
          <w:color w:val="000000"/>
        </w:rPr>
        <w:t>] [</w:t>
      </w:r>
      <w:r>
        <w:rPr>
          <w:rStyle w:val="Teletype"/>
          <w:rFonts w:ascii="Arial" w:hAnsi="Arial"/>
          <w:b/>
          <w:color w:val="000000"/>
        </w:rPr>
        <w:t>co</w:t>
      </w:r>
      <w:r>
        <w:rPr>
          <w:rStyle w:val="Teletype"/>
          <w:rFonts w:ascii="Arial" w:hAnsi="Arial"/>
          <w:b/>
          <w:color w:val="000000"/>
        </w:rPr>
        <w:t>re</w:t>
      </w:r>
      <w:r>
        <w:rPr>
          <w:rStyle w:val="Teletype"/>
          <w:rFonts w:ascii="Arial" w:hAnsi="Arial"/>
          <w:color w:val="000000"/>
        </w:rPr>
        <w:t>]</w:t>
      </w:r>
    </w:p>
    <w:p w:rsidR="00B157BA" w:rsidRDefault="004E31AC">
      <w:pPr>
        <w:pStyle w:val="Heading3"/>
        <w:widowControl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  <w:lang w:val="ru-RU"/>
        </w:rPr>
        <w:t>Самые главные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  <w:lang w:val="ru-RU"/>
        </w:rPr>
        <w:t>о</w:t>
      </w:r>
      <w:r>
        <w:rPr>
          <w:rFonts w:ascii="Arial" w:hAnsi="Arial"/>
          <w:color w:val="000000"/>
        </w:rPr>
        <w:t>пции</w:t>
      </w: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908"/>
        <w:gridCol w:w="6785"/>
      </w:tblGrid>
      <w:tr w:rsidR="00B157BA" w:rsidTr="00B157BA">
        <w:tblPrEx>
          <w:tblCellMar>
            <w:top w:w="0" w:type="dxa"/>
            <w:bottom w:w="0" w:type="dxa"/>
          </w:tblCellMar>
        </w:tblPrEx>
        <w:tc>
          <w:tcPr>
            <w:tcW w:w="28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-a</w:t>
            </w:r>
          </w:p>
        </w:tc>
        <w:tc>
          <w:tcPr>
            <w:tcW w:w="67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Показывать состояние всех сокетов; обычно сокеты, используемые серверными процессами, не показываются.</w:t>
            </w:r>
          </w:p>
        </w:tc>
      </w:tr>
    </w:tbl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p w:rsidR="00B157BA" w:rsidRDefault="004E31AC">
      <w:pPr>
        <w:pStyle w:val="Standard"/>
        <w:widowControl/>
        <w:shd w:val="clear" w:color="auto" w:fill="FFFFFF"/>
        <w:rPr>
          <w:rFonts w:ascii="Arial" w:hAnsi="Arial"/>
        </w:rPr>
      </w:pPr>
      <w:r>
        <w:rPr>
          <w:rFonts w:ascii="Arial" w:hAnsi="Arial"/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591720"/>
            <wp:effectExtent l="0" t="0" r="0" b="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59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907"/>
        <w:gridCol w:w="6786"/>
      </w:tblGrid>
      <w:tr w:rsidR="00B157BA" w:rsidTr="00B157BA">
        <w:tblPrEx>
          <w:tblCellMar>
            <w:top w:w="0" w:type="dxa"/>
            <w:bottom w:w="0" w:type="dxa"/>
          </w:tblCellMar>
        </w:tblPrEx>
        <w:tc>
          <w:tcPr>
            <w:tcW w:w="28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-n</w:t>
            </w:r>
          </w:p>
        </w:tc>
        <w:tc>
          <w:tcPr>
            <w:tcW w:w="67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Показывать сетевые адреса как числа. </w:t>
            </w:r>
          </w:p>
        </w:tc>
      </w:tr>
    </w:tbl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p w:rsidR="00B157BA" w:rsidRDefault="004E31AC">
      <w:pPr>
        <w:pStyle w:val="Standard"/>
        <w:widowControl/>
        <w:shd w:val="clear" w:color="auto" w:fill="FFFFFF"/>
        <w:rPr>
          <w:rFonts w:ascii="Arial" w:hAnsi="Arial"/>
        </w:rPr>
      </w:pPr>
      <w:r>
        <w:rPr>
          <w:rFonts w:ascii="Arial" w:hAnsi="Arial"/>
          <w:noProof/>
          <w:lang w:val="ru-RU" w:eastAsia="ru-RU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623400"/>
            <wp:effectExtent l="0" t="0" r="0" b="0"/>
            <wp:wrapTopAndBottom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62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907"/>
        <w:gridCol w:w="6786"/>
      </w:tblGrid>
      <w:tr w:rsidR="00B157BA" w:rsidTr="00B157BA">
        <w:tblPrEx>
          <w:tblCellMar>
            <w:top w:w="0" w:type="dxa"/>
            <w:bottom w:w="0" w:type="dxa"/>
          </w:tblCellMar>
        </w:tblPrEx>
        <w:tc>
          <w:tcPr>
            <w:tcW w:w="28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-r</w:t>
            </w:r>
          </w:p>
        </w:tc>
        <w:tc>
          <w:tcPr>
            <w:tcW w:w="67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Показать таблицы маршрутизации. </w:t>
            </w:r>
          </w:p>
        </w:tc>
      </w:tr>
    </w:tbl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p w:rsidR="00B157BA" w:rsidRDefault="004E31AC">
      <w:pPr>
        <w:pStyle w:val="Standard"/>
        <w:widowControl/>
        <w:shd w:val="clear" w:color="auto" w:fill="FFFFFF"/>
        <w:rPr>
          <w:rFonts w:ascii="Arial" w:hAnsi="Arial"/>
        </w:rPr>
      </w:pPr>
      <w:r>
        <w:rPr>
          <w:rFonts w:ascii="Arial" w:hAnsi="Arial"/>
          <w:noProof/>
          <w:lang w:val="ru-RU"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822240"/>
            <wp:effectExtent l="0" t="0" r="0" b="0"/>
            <wp:wrapTopAndBottom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8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908"/>
        <w:gridCol w:w="6785"/>
      </w:tblGrid>
      <w:tr w:rsidR="00B157BA" w:rsidTr="00B157BA">
        <w:tblPrEx>
          <w:tblCellMar>
            <w:top w:w="0" w:type="dxa"/>
            <w:bottom w:w="0" w:type="dxa"/>
          </w:tblCellMar>
        </w:tblPrEx>
        <w:tc>
          <w:tcPr>
            <w:tcW w:w="28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-s</w:t>
            </w:r>
          </w:p>
        </w:tc>
        <w:tc>
          <w:tcPr>
            <w:tcW w:w="67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Показать статистическую информацию по </w:t>
            </w:r>
            <w:r>
              <w:rPr>
                <w:rFonts w:ascii="Arial" w:hAnsi="Arial"/>
              </w:rPr>
              <w:t>протоколам. При использовании с опцией </w:t>
            </w:r>
            <w:r>
              <w:rPr>
                <w:rFonts w:ascii="Arial" w:hAnsi="Arial"/>
                <w:b/>
              </w:rPr>
              <w:t>-r</w:t>
            </w:r>
            <w:r>
              <w:rPr>
                <w:rFonts w:ascii="Arial" w:hAnsi="Arial"/>
              </w:rPr>
              <w:t>, показывает статистику маршрутизации.</w:t>
            </w:r>
          </w:p>
        </w:tc>
      </w:tr>
    </w:tbl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p w:rsidR="00B157BA" w:rsidRDefault="004E31AC">
      <w:pPr>
        <w:pStyle w:val="Standard"/>
        <w:widowControl/>
        <w:shd w:val="clear" w:color="auto" w:fill="FFFFFF"/>
        <w:rPr>
          <w:rFonts w:ascii="Arial" w:hAnsi="Arial"/>
        </w:rPr>
      </w:pPr>
      <w:r>
        <w:rPr>
          <w:rFonts w:ascii="Arial" w:hAnsi="Arial"/>
          <w:noProof/>
          <w:lang w:val="ru-RU" w:eastAsia="ru-RU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6987600"/>
            <wp:effectExtent l="0" t="0" r="0" b="0"/>
            <wp:wrapTopAndBottom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69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p w:rsidR="00B157BA" w:rsidRDefault="004E31AC">
      <w:pPr>
        <w:pStyle w:val="Heading3"/>
        <w:widowControl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  <w:lang w:val="ru-RU"/>
        </w:rPr>
        <w:t>Основные</w:t>
      </w:r>
      <w:r>
        <w:rPr>
          <w:rFonts w:ascii="Arial" w:hAnsi="Arial"/>
          <w:color w:val="000000"/>
        </w:rPr>
        <w:t xml:space="preserve"> Сокеты TCP</w:t>
      </w:r>
    </w:p>
    <w:p w:rsidR="00B157BA" w:rsidRDefault="004E31AC">
      <w:pPr>
        <w:pStyle w:val="Textbody"/>
        <w:widowControl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Для сокетов TCP допустимы следующие значения состояния:</w:t>
      </w: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23"/>
        <w:gridCol w:w="7270"/>
      </w:tblGrid>
      <w:tr w:rsidR="00B157BA" w:rsidTr="00B157BA">
        <w:tblPrEx>
          <w:tblCellMar>
            <w:top w:w="0" w:type="dxa"/>
            <w:bottom w:w="0" w:type="dxa"/>
          </w:tblCellMar>
        </w:tblPrEx>
        <w:tc>
          <w:tcPr>
            <w:tcW w:w="24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CLOSED</w:t>
            </w:r>
          </w:p>
        </w:tc>
        <w:tc>
          <w:tcPr>
            <w:tcW w:w="72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Закрыт. Сокет не используется.</w:t>
            </w:r>
          </w:p>
        </w:tc>
      </w:tr>
      <w:tr w:rsidR="00B157BA" w:rsidTr="00B157BA">
        <w:tblPrEx>
          <w:tblCellMar>
            <w:top w:w="0" w:type="dxa"/>
            <w:bottom w:w="0" w:type="dxa"/>
          </w:tblCellMar>
        </w:tblPrEx>
        <w:tc>
          <w:tcPr>
            <w:tcW w:w="24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LISTEN</w:t>
            </w:r>
          </w:p>
        </w:tc>
        <w:tc>
          <w:tcPr>
            <w:tcW w:w="72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Ожидает входящих соединений.</w:t>
            </w:r>
          </w:p>
        </w:tc>
      </w:tr>
      <w:tr w:rsidR="00B157BA" w:rsidTr="00B157BA">
        <w:tblPrEx>
          <w:tblCellMar>
            <w:top w:w="0" w:type="dxa"/>
            <w:bottom w:w="0" w:type="dxa"/>
          </w:tblCellMar>
        </w:tblPrEx>
        <w:tc>
          <w:tcPr>
            <w:tcW w:w="24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ESTABLISHED</w:t>
            </w:r>
          </w:p>
        </w:tc>
        <w:tc>
          <w:tcPr>
            <w:tcW w:w="72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Соединение установлено.</w:t>
            </w:r>
          </w:p>
        </w:tc>
      </w:tr>
      <w:tr w:rsidR="00B157BA" w:rsidTr="00B157BA">
        <w:tblPrEx>
          <w:tblCellMar>
            <w:top w:w="0" w:type="dxa"/>
            <w:bottom w:w="0" w:type="dxa"/>
          </w:tblCellMar>
        </w:tblPrEx>
        <w:tc>
          <w:tcPr>
            <w:tcW w:w="24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CLOSING</w:t>
            </w:r>
          </w:p>
        </w:tc>
        <w:tc>
          <w:tcPr>
            <w:tcW w:w="722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57BA" w:rsidRDefault="004E31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Сокет закрыт, затем удаленная сторона отключилась; ожидание </w:t>
            </w:r>
            <w:r>
              <w:rPr>
                <w:rFonts w:ascii="Arial" w:hAnsi="Arial"/>
              </w:rPr>
              <w:t>подтверждения.</w:t>
            </w:r>
          </w:p>
        </w:tc>
      </w:tr>
    </w:tbl>
    <w:p w:rsidR="00B157BA" w:rsidRDefault="00B157BA">
      <w:pPr>
        <w:pStyle w:val="Standard"/>
        <w:widowControl/>
        <w:shd w:val="clear" w:color="auto" w:fill="FFFFFF"/>
        <w:rPr>
          <w:rFonts w:ascii="Arial" w:hAnsi="Arial"/>
        </w:rPr>
      </w:pPr>
    </w:p>
    <w:p w:rsidR="00B157BA" w:rsidRDefault="004E31AC">
      <w:pPr>
        <w:pStyle w:val="Standard"/>
        <w:widowControl/>
        <w:shd w:val="clear" w:color="auto" w:fill="FFFFFF"/>
        <w:rPr>
          <w:rFonts w:ascii="Arial" w:hAnsi="Arial"/>
          <w:lang w:val="ru-RU"/>
        </w:rPr>
      </w:pPr>
      <w:r>
        <w:rPr>
          <w:rFonts w:ascii="Arial" w:hAnsi="Arial"/>
          <w:color w:val="000000"/>
          <w:lang w:val="ru-RU"/>
        </w:rPr>
        <w:lastRenderedPageBreak/>
        <w:t xml:space="preserve">Проверить порт </w:t>
      </w:r>
      <w:r>
        <w:rPr>
          <w:rFonts w:ascii="Arial" w:hAnsi="Arial"/>
          <w:color w:val="000000"/>
          <w:lang w:val="en-US"/>
        </w:rPr>
        <w:t>telnet</w:t>
      </w: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  <w:lang w:val="ru-RU"/>
        </w:rPr>
      </w:pPr>
    </w:p>
    <w:p w:rsidR="00B157BA" w:rsidRDefault="004E31AC">
      <w:pPr>
        <w:pStyle w:val="Standard"/>
        <w:widowControl/>
        <w:shd w:val="clear" w:color="auto" w:fill="FFFFFF"/>
        <w:rPr>
          <w:rFonts w:ascii="Arial" w:hAnsi="Arial"/>
          <w:lang w:val="ru-RU"/>
        </w:rPr>
      </w:pPr>
      <w:r>
        <w:rPr>
          <w:rFonts w:ascii="Arial" w:hAnsi="Arial"/>
          <w:noProof/>
          <w:lang w:val="ru-RU"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452160"/>
            <wp:effectExtent l="0" t="0" r="0" b="0"/>
            <wp:wrapTopAndBottom/>
            <wp:docPr id="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45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7BA" w:rsidRDefault="004E31AC">
      <w:pPr>
        <w:pStyle w:val="Standard"/>
        <w:widowControl/>
        <w:shd w:val="clear" w:color="auto" w:fill="FFFFFF"/>
        <w:rPr>
          <w:rFonts w:ascii="Arial" w:hAnsi="Arial"/>
          <w:lang w:val="ru-RU"/>
        </w:rPr>
      </w:pPr>
      <w:r>
        <w:rPr>
          <w:rFonts w:ascii="Arial" w:hAnsi="Arial"/>
          <w:color w:val="000000"/>
          <w:lang w:val="ru-RU"/>
        </w:rPr>
        <w:t>Из этого примера видно , что мы можем комбинировать опции</w:t>
      </w: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  <w:lang w:val="ru-RU"/>
        </w:rPr>
      </w:pPr>
    </w:p>
    <w:p w:rsidR="00B157BA" w:rsidRDefault="004E31AC">
      <w:pPr>
        <w:pStyle w:val="Standard"/>
        <w:widowControl/>
        <w:shd w:val="clear" w:color="auto" w:fill="FFFFFF"/>
        <w:rPr>
          <w:rFonts w:ascii="Arial" w:hAnsi="Arial"/>
          <w:lang w:val="ru-RU"/>
        </w:rPr>
      </w:pPr>
      <w:r>
        <w:rPr>
          <w:rFonts w:ascii="Arial" w:hAnsi="Arial"/>
          <w:color w:val="000000"/>
          <w:lang w:val="ru-RU"/>
        </w:rPr>
        <w:t xml:space="preserve">Проверить порт </w:t>
      </w:r>
      <w:r>
        <w:rPr>
          <w:rFonts w:ascii="Arial" w:hAnsi="Arial"/>
          <w:color w:val="000000"/>
          <w:lang w:val="en-US"/>
        </w:rPr>
        <w:t>ftp</w:t>
      </w: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  <w:lang w:val="ru-RU"/>
        </w:rPr>
      </w:pPr>
    </w:p>
    <w:p w:rsidR="00B157BA" w:rsidRDefault="004E31AC">
      <w:pPr>
        <w:pStyle w:val="Standard"/>
        <w:widowControl/>
        <w:shd w:val="clear" w:color="auto" w:fill="FFFFFF"/>
        <w:rPr>
          <w:rFonts w:ascii="Arial" w:hAnsi="Arial"/>
          <w:lang w:val="ru-RU"/>
        </w:rPr>
      </w:pPr>
      <w:r>
        <w:rPr>
          <w:rFonts w:ascii="Arial" w:hAnsi="Arial"/>
          <w:noProof/>
          <w:lang w:val="ru-RU"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433079"/>
            <wp:effectExtent l="0" t="0" r="0" b="0"/>
            <wp:wrapTopAndBottom/>
            <wp:docPr id="6" name="Графический объект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43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7BA" w:rsidRDefault="004E31AC">
      <w:pPr>
        <w:pStyle w:val="Standard"/>
        <w:widowControl/>
        <w:shd w:val="clear" w:color="auto" w:fill="FFFFFF"/>
        <w:rPr>
          <w:rFonts w:ascii="Arial" w:hAnsi="Arial"/>
          <w:lang w:val="ru-RU"/>
        </w:rPr>
      </w:pPr>
      <w:r>
        <w:rPr>
          <w:rFonts w:ascii="Arial" w:hAnsi="Arial"/>
          <w:color w:val="000000"/>
          <w:lang w:val="ru-RU"/>
        </w:rPr>
        <w:t>На этом основы по neеstat</w:t>
      </w:r>
      <w:r>
        <w:rPr>
          <w:rFonts w:ascii="Arial" w:hAnsi="Arial"/>
          <w:color w:val="000000"/>
          <w:lang w:val="en-US"/>
        </w:rPr>
        <w:t xml:space="preserve"> </w:t>
      </w:r>
      <w:r>
        <w:rPr>
          <w:rFonts w:ascii="Arial" w:hAnsi="Arial"/>
          <w:color w:val="000000"/>
          <w:lang w:val="ru-RU"/>
        </w:rPr>
        <w:t>завершены.</w:t>
      </w: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  <w:lang w:val="ru-RU"/>
        </w:rPr>
      </w:pPr>
    </w:p>
    <w:p w:rsidR="00B157BA" w:rsidRDefault="004E31AC">
      <w:pPr>
        <w:pStyle w:val="Standard"/>
        <w:widowControl/>
        <w:shd w:val="clear" w:color="auto" w:fill="FFFFFF"/>
        <w:rPr>
          <w:rFonts w:ascii="Arial" w:hAnsi="Arial"/>
          <w:lang w:val="ru-RU"/>
        </w:rPr>
      </w:pPr>
      <w:r>
        <w:rPr>
          <w:rFonts w:ascii="Arial" w:hAnsi="Arial"/>
          <w:color w:val="000000"/>
          <w:lang w:val="ru-RU"/>
        </w:rPr>
        <w:t xml:space="preserve">Для более подробной информации воспользуйтесь </w:t>
      </w:r>
      <w:r>
        <w:rPr>
          <w:rFonts w:ascii="Arial" w:hAnsi="Arial"/>
          <w:color w:val="000000"/>
          <w:lang w:val="en-US"/>
        </w:rPr>
        <w:t>man .</w:t>
      </w:r>
    </w:p>
    <w:p w:rsidR="00B157BA" w:rsidRDefault="00B157BA">
      <w:pPr>
        <w:pStyle w:val="Standard"/>
        <w:widowControl/>
        <w:shd w:val="clear" w:color="auto" w:fill="FFFFFF"/>
        <w:rPr>
          <w:rFonts w:ascii="Arial" w:hAnsi="Arial"/>
          <w:lang w:val="ru-RU"/>
        </w:rPr>
      </w:pPr>
    </w:p>
    <w:sectPr w:rsidR="00B157BA" w:rsidSect="00B157B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1AC" w:rsidRDefault="004E31AC" w:rsidP="00B157BA">
      <w:r>
        <w:separator/>
      </w:r>
    </w:p>
  </w:endnote>
  <w:endnote w:type="continuationSeparator" w:id="0">
    <w:p w:rsidR="004E31AC" w:rsidRDefault="004E31AC" w:rsidP="00B15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1AC" w:rsidRDefault="004E31AC" w:rsidP="00B157BA">
      <w:r w:rsidRPr="00B157BA">
        <w:rPr>
          <w:color w:val="000000"/>
        </w:rPr>
        <w:separator/>
      </w:r>
    </w:p>
  </w:footnote>
  <w:footnote w:type="continuationSeparator" w:id="0">
    <w:p w:rsidR="004E31AC" w:rsidRDefault="004E31AC" w:rsidP="00B157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7BA"/>
    <w:rsid w:val="004E31AC"/>
    <w:rsid w:val="007634F3"/>
    <w:rsid w:val="00B15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157BA"/>
  </w:style>
  <w:style w:type="paragraph" w:customStyle="1" w:styleId="Heading">
    <w:name w:val="Heading"/>
    <w:basedOn w:val="Standard"/>
    <w:next w:val="Textbody"/>
    <w:rsid w:val="00B157B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B157BA"/>
    <w:pPr>
      <w:spacing w:after="120"/>
    </w:pPr>
  </w:style>
  <w:style w:type="paragraph" w:styleId="a3">
    <w:name w:val="List"/>
    <w:basedOn w:val="Textbody"/>
    <w:rsid w:val="00B157BA"/>
  </w:style>
  <w:style w:type="paragraph" w:customStyle="1" w:styleId="Caption">
    <w:name w:val="Caption"/>
    <w:basedOn w:val="Standard"/>
    <w:rsid w:val="00B157B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157BA"/>
    <w:pPr>
      <w:suppressLineNumbers/>
    </w:pPr>
  </w:style>
  <w:style w:type="paragraph" w:customStyle="1" w:styleId="Heading2">
    <w:name w:val="Heading 2"/>
    <w:basedOn w:val="Heading"/>
    <w:next w:val="Textbody"/>
    <w:rsid w:val="00B157BA"/>
    <w:pPr>
      <w:outlineLvl w:val="1"/>
    </w:pPr>
    <w:rPr>
      <w:rFonts w:ascii="Times New Roman" w:eastAsia="MS PMincho" w:hAnsi="Times New Roman"/>
      <w:b/>
      <w:bCs/>
      <w:sz w:val="36"/>
      <w:szCs w:val="36"/>
    </w:rPr>
  </w:style>
  <w:style w:type="paragraph" w:customStyle="1" w:styleId="ListHeading">
    <w:name w:val="List Heading"/>
    <w:basedOn w:val="Standard"/>
    <w:next w:val="ListContents"/>
    <w:rsid w:val="00B157BA"/>
  </w:style>
  <w:style w:type="paragraph" w:customStyle="1" w:styleId="ListContents">
    <w:name w:val="List Contents"/>
    <w:basedOn w:val="Standard"/>
    <w:rsid w:val="00B157BA"/>
    <w:pPr>
      <w:ind w:left="567"/>
    </w:pPr>
  </w:style>
  <w:style w:type="paragraph" w:customStyle="1" w:styleId="Heading3">
    <w:name w:val="Heading 3"/>
    <w:basedOn w:val="Heading"/>
    <w:next w:val="Textbody"/>
    <w:rsid w:val="00B157BA"/>
    <w:pPr>
      <w:outlineLvl w:val="2"/>
    </w:pPr>
    <w:rPr>
      <w:rFonts w:ascii="Times New Roman" w:eastAsia="MS PMincho" w:hAnsi="Times New Roman"/>
      <w:b/>
      <w:bCs/>
    </w:rPr>
  </w:style>
  <w:style w:type="paragraph" w:customStyle="1" w:styleId="TableContents">
    <w:name w:val="Table Contents"/>
    <w:basedOn w:val="Standard"/>
    <w:rsid w:val="00B157BA"/>
    <w:pPr>
      <w:suppressLineNumbers/>
    </w:pPr>
  </w:style>
  <w:style w:type="paragraph" w:customStyle="1" w:styleId="TableHeading">
    <w:name w:val="Table Heading"/>
    <w:basedOn w:val="TableContents"/>
    <w:rsid w:val="00B157BA"/>
    <w:pPr>
      <w:jc w:val="center"/>
    </w:pPr>
    <w:rPr>
      <w:b/>
      <w:bCs/>
    </w:rPr>
  </w:style>
  <w:style w:type="character" w:styleId="a4">
    <w:name w:val="Emphasis"/>
    <w:rsid w:val="00B157BA"/>
    <w:rPr>
      <w:i/>
      <w:iCs/>
    </w:rPr>
  </w:style>
  <w:style w:type="character" w:customStyle="1" w:styleId="Teletype">
    <w:name w:val="Teletype"/>
    <w:rsid w:val="00B157BA"/>
    <w:rPr>
      <w:rFonts w:ascii="Courier New" w:eastAsia="MS PGothic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179</Words>
  <Characters>1021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Microalab</dc:creator>
  <cp:lastModifiedBy>Microalab</cp:lastModifiedBy>
  <cp:revision>1</cp:revision>
  <dcterms:created xsi:type="dcterms:W3CDTF">2009-04-16T11:32:00Z</dcterms:created>
  <dcterms:modified xsi:type="dcterms:W3CDTF">2018-08-18T07:44:00Z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